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 Week 6                                             Preparing date: </w:t>
      </w:r>
      <w:proofErr w:type="gramStart"/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October14</w:t>
      </w: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,</w:t>
      </w:r>
      <w:proofErr w:type="gramEnd"/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2024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 Period 24                                        Teaching date: October </w:t>
      </w:r>
      <w:proofErr w:type="gramStart"/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16</w:t>
      </w: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,</w:t>
      </w:r>
      <w:proofErr w:type="gramEnd"/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2024</w:t>
      </w: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           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proofErr w:type="gramStart"/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4.</w:t>
      </w:r>
      <w:proofErr w:type="gramEnd"/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OUR FREE-TIME ACTIVITIES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Lesson 1 (4, 5, 6)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By the end of the lesson, </w:t>
      </w:r>
      <w:proofErr w:type="spellStart"/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Ss</w:t>
      </w:r>
      <w:proofErr w:type="spellEnd"/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will be able to: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listen to and understand four communicative contexts about what someone likes doing in their free time and number the pictures.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complete four gapped exchanges with the help of picture cues. 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revise target words about free-time activities by playing </w:t>
      </w:r>
      <w:proofErr w:type="gramStart"/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Who</w:t>
      </w:r>
      <w:proofErr w:type="gramEnd"/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has more correct answers?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C7B54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Review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C7B54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speaking, listening, reading and writing.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Communication and collaboration: work in pairs and groups to complete the learning tasks.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Self-control and independent learning: perform listening and reading tasks.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Show their pride in their personal information and what they like doing in their free time.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64, 65, 66; audio Tracks 37; website hoclieu.vn, posters, laptop, pictures, textbook, lesson plan, TV or projector.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C7B54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1C7B54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Student’s book Page 29, notebooks, workbooks, school things.</w:t>
      </w:r>
    </w:p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1C7B54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6275"/>
        <w:gridCol w:w="3090"/>
      </w:tblGrid>
      <w:tr w:rsidR="001C7B54" w:rsidRPr="001C7B54" w:rsidTr="004223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Stages/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1C7B54" w:rsidRPr="001C7B54" w:rsidTr="0042232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1.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Warm- up and review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(5’)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2.Practice: (25’)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3. 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Fun corner and wrap- up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(5’)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Game: </w:t>
            </w:r>
            <w:r w:rsidRPr="001C7B54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“Pass the ball”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</w:t>
            </w:r>
            <w:r w:rsidRPr="001C7B54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revise the learned different nationalities.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pass the ball while the teacher plays the music.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When the music stops, a student holding the ball says the sentence: “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 like _________ in my free time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”.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Say “Open your book page 29” and look at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“Unit 4, Lesson 1 (4</w:t>
            </w:r>
            <w:proofErr w:type="gramStart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,5,6</w:t>
            </w:r>
            <w:proofErr w:type="gramEnd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lastRenderedPageBreak/>
              <w:t>Activity 1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Listen and number: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proofErr w:type="spellStart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listen to and understand four communicative contexts about what someone likes doing in their free time and number the pictures.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Draw Ss’ attention to the pictures and ask questions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+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What’s he/she doing?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What does he/she like doing in their free time?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2CC13783" wp14:editId="0B7B5790">
                  <wp:extent cx="2590800" cy="971550"/>
                  <wp:effectExtent l="0" t="0" r="0" b="0"/>
                  <wp:docPr id="1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15DAE0EB" wp14:editId="08F3544B">
                  <wp:extent cx="2603500" cy="952500"/>
                  <wp:effectExtent l="0" t="0" r="6350" b="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</w:t>
            </w:r>
            <w:proofErr w:type="gram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ask</w:t>
            </w:r>
            <w:proofErr w:type="gram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guess the answers.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T writes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Ss’guessing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on the board.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Listen to the tape: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Play the recording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</w:t>
            </w:r>
            <w:proofErr w:type="gram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 Play</w:t>
            </w:r>
            <w:proofErr w:type="gram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the recording again for pupils to do the task.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  Play the recording a third time for pupils to check their answers.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Get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swap books with their partner, </w:t>
            </w:r>
            <w:proofErr w:type="gram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then</w:t>
            </w:r>
            <w:proofErr w:type="gram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check answers as a class.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Write the answers on the board for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correct their answers. Then checks Ss’ guessing.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Play the recording, sentence by sentence, for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listen and repeat individually and in chorus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  1. d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ab/>
              <w:t xml:space="preserve">2. </w:t>
            </w:r>
            <w:proofErr w:type="gramStart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c</w:t>
            </w:r>
            <w:proofErr w:type="gramEnd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ab/>
              <w:t xml:space="preserve">3. </w:t>
            </w:r>
            <w:proofErr w:type="gramStart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b</w:t>
            </w:r>
            <w:proofErr w:type="gramEnd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ab/>
              <w:t>4. A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2.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 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Read and complete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proofErr w:type="spellStart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complete four gapped exchanges with the help of picture cues.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Have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look at the pictures and identify the activities of the characters in the pictures.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lastRenderedPageBreak/>
              <w:drawing>
                <wp:inline distT="0" distB="0" distL="0" distR="0" wp14:anchorId="79F56835" wp14:editId="56ABA47A">
                  <wp:extent cx="2584450" cy="1200150"/>
                  <wp:effectExtent l="0" t="0" r="6350" b="0"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11D1B377" wp14:editId="34DE9939">
                  <wp:extent cx="2584450" cy="1168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-Model sentences: have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read the question and ask what words are missing (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go for a walk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)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Give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 time limit to read the gapped dialogues, look at the pictures and do the task independently.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Get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swap books with a partner and check their answers before checking as a class.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Invite one student to write the answers on the board.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Invite two pairs of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act out the completed dialogues.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 1. going for a walk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2. surfing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3. the violin; playing   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4. What; guitar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3. 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Let’s play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proofErr w:type="spellStart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 to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revise target  words  about  free-time  activities  by playing  Who  has  more  correct answers?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5AA8F400" wp14:editId="1EA58B1B">
                  <wp:extent cx="2609850" cy="1371600"/>
                  <wp:effectExtent l="0" t="0" r="0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Tell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that they are going to play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Who has more correct answers?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proofErr w:type="gram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in</w:t>
            </w:r>
            <w:proofErr w:type="gram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groups.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The groups will write as many sentences as possible about their free-time activities within five minutes on their paper,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Ex: In our free time, we like reading books. We like watching TV.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+ The group that gets more correct sentences is the winner.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Have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groups of five or six.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Invite representatives of two groups to the front of the class to read their sentences aloud.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Check answers together as a class and decide which group is the winner.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Game: </w:t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1C7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Spinner the wheel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Divide the class into 2 teams.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 teams, they take turns to look at the picture and answer the questions. If they have the correct ones, they will get the points.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team with more points wins the game.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teacher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play the game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open their books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-Look at the pictures and say: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a: a boy watching a cartoon.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b: a boy going for a walk in the park.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c: a girl watering the flowers.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d: a girl playing the violin.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guess the answers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tape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again and do the task.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and check their answers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swap books with their partner, then check answers as a class and guessing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write the answer on the board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and repeat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look at the picture and say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follow the teacher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do the task independently.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swap books with a partner and check their answers.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write the answers on the board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Pairs of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read the completed dialogues aloud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follow the teacher’s instructions.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 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discuss and make as many sentences as possible to answer the questions: </w:t>
            </w:r>
            <w:r w:rsidRPr="001C7B54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“What do you like doing in your free time?”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groups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representative of each group read aloud their sentences in their group.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congratulate the winner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teacher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play the game.</w:t>
            </w: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C7B54" w:rsidRPr="001C7B54" w:rsidRDefault="001C7B54" w:rsidP="001C7B54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1C7B54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praise the winner.</w:t>
            </w:r>
          </w:p>
        </w:tc>
      </w:tr>
    </w:tbl>
    <w:p w:rsidR="001C7B54" w:rsidRPr="001C7B54" w:rsidRDefault="001C7B54" w:rsidP="001C7B54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</w:p>
    <w:p w:rsidR="001C4326" w:rsidRPr="001C7B54" w:rsidRDefault="001C4326" w:rsidP="001C7B54">
      <w:bookmarkStart w:id="0" w:name="_GoBack"/>
      <w:bookmarkEnd w:id="0"/>
    </w:p>
    <w:sectPr w:rsidR="001C4326" w:rsidRPr="001C7B54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A07D4"/>
    <w:rsid w:val="001A7119"/>
    <w:rsid w:val="001C4326"/>
    <w:rsid w:val="001C7B54"/>
    <w:rsid w:val="004A7AD5"/>
    <w:rsid w:val="009B45FD"/>
    <w:rsid w:val="00DD0154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</cp:revision>
  <dcterms:created xsi:type="dcterms:W3CDTF">2025-02-21T06:55:00Z</dcterms:created>
  <dcterms:modified xsi:type="dcterms:W3CDTF">2025-02-24T00:40:00Z</dcterms:modified>
</cp:coreProperties>
</file>