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08" w:rsidRPr="00DA7408" w:rsidRDefault="00DA7408" w:rsidP="00DA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08">
        <w:rPr>
          <w:rFonts w:ascii="Times New Roman" w:hAnsi="Times New Roman" w:cs="Times New Roman"/>
          <w:b/>
          <w:sz w:val="28"/>
          <w:szCs w:val="28"/>
        </w:rPr>
        <w:t xml:space="preserve">KẾ HOẠCH DẠY HỌC </w:t>
      </w:r>
    </w:p>
    <w:p w:rsidR="00DA7408" w:rsidRPr="00DA7408" w:rsidRDefault="00DA7408" w:rsidP="00DA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MÔN: </w:t>
      </w:r>
      <w:proofErr w:type="gramStart"/>
      <w:r w:rsidRPr="00DA7408">
        <w:rPr>
          <w:rFonts w:ascii="Times New Roman" w:hAnsi="Times New Roman" w:cs="Times New Roman"/>
          <w:b/>
          <w:color w:val="000000"/>
          <w:sz w:val="28"/>
          <w:szCs w:val="28"/>
        </w:rPr>
        <w:t>TOÁN</w:t>
      </w:r>
      <w:r w:rsidRPr="00DA740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proofErr w:type="gramEnd"/>
      <w:r w:rsidRPr="00DA7408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A7408"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Pr="00DA7408">
        <w:rPr>
          <w:rFonts w:ascii="Times New Roman" w:hAnsi="Times New Roman" w:cs="Times New Roman"/>
          <w:b/>
          <w:sz w:val="28"/>
          <w:szCs w:val="28"/>
        </w:rPr>
        <w:tab/>
      </w:r>
      <w:r w:rsidRPr="00DA7408">
        <w:rPr>
          <w:rFonts w:ascii="Times New Roman" w:hAnsi="Times New Roman" w:cs="Times New Roman"/>
          <w:b/>
          <w:sz w:val="28"/>
          <w:szCs w:val="28"/>
        </w:rPr>
        <w:tab/>
      </w:r>
      <w:r w:rsidRPr="00DA7408">
        <w:rPr>
          <w:rFonts w:ascii="Times New Roman" w:hAnsi="Times New Roman" w:cs="Times New Roman"/>
          <w:b/>
          <w:sz w:val="28"/>
          <w:szCs w:val="28"/>
        </w:rPr>
        <w:tab/>
      </w:r>
      <w:r w:rsidRPr="00DA7408">
        <w:rPr>
          <w:rFonts w:ascii="Times New Roman" w:hAnsi="Times New Roman" w:cs="Times New Roman"/>
          <w:b/>
          <w:sz w:val="28"/>
          <w:szCs w:val="28"/>
        </w:rPr>
        <w:tab/>
      </w:r>
    </w:p>
    <w:p w:rsidR="00DA7408" w:rsidRPr="00DA7408" w:rsidRDefault="00DA7408" w:rsidP="00DA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40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7408">
        <w:rPr>
          <w:rFonts w:ascii="Times New Roman" w:hAnsi="Times New Roman" w:cs="Times New Roman"/>
          <w:b/>
          <w:sz w:val="28"/>
          <w:szCs w:val="28"/>
        </w:rPr>
        <w:t>: THƯỚC GẤP (T1)</w:t>
      </w:r>
    </w:p>
    <w:p w:rsidR="00DA7408" w:rsidRPr="00DA7408" w:rsidRDefault="00DA7408" w:rsidP="00DA74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Yêu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cầu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cần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đạt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A7408" w:rsidRPr="00DA7408" w:rsidRDefault="00DA7408" w:rsidP="00DA74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-xi-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mét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), m (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mét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m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dm</w:t>
      </w:r>
      <w:proofErr w:type="gram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</w:t>
      </w:r>
      <w:bookmarkStart w:id="0" w:name="_GoBack"/>
      <w:bookmarkEnd w:id="0"/>
      <w:r w:rsidRPr="00DA7408">
        <w:rPr>
          <w:rFonts w:ascii="Times New Roman" w:hAnsi="Times New Roman" w:cs="Times New Roman"/>
          <w:color w:val="000000"/>
          <w:sz w:val="28"/>
          <w:szCs w:val="28"/>
        </w:rPr>
        <w:t>ụng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gấp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gấp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vạch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xăng-ti-mét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thẳng</w:t>
      </w:r>
      <w:proofErr w:type="spellEnd"/>
      <w:proofErr w:type="gram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gấp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xé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dán</w:t>
      </w:r>
      <w:proofErr w:type="spellEnd"/>
      <w:proofErr w:type="gram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,...</w:t>
      </w:r>
      <w:proofErr w:type="gram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,…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gấp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gấp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dạn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DA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408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74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408" w:rsidRPr="00DA7408" w:rsidRDefault="00DA7408" w:rsidP="00DA74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Đồ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dùng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A7408" w:rsidRPr="00DA7408" w:rsidRDefault="00DA7408" w:rsidP="00DA74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Chuẩn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bị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Giáo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viên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A7408" w:rsidRPr="00DA7408" w:rsidRDefault="00DA7408" w:rsidP="00DA74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Chuẩn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bị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sinh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A7408" w:rsidRPr="00DA7408" w:rsidRDefault="00DA7408" w:rsidP="00DA7408">
      <w:pPr>
        <w:widowControl w:val="0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(4-5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DA7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89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225"/>
        <w:gridCol w:w="1728"/>
        <w:gridCol w:w="3140"/>
      </w:tblGrid>
      <w:tr w:rsidR="00DA7408" w:rsidRPr="00DA7408" w:rsidTr="00EB1162">
        <w:trPr>
          <w:trHeight w:val="20"/>
          <w:tblHeader/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8" w:firstLine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</w:t>
            </w:r>
            <w:proofErr w:type="spellEnd"/>
          </w:p>
        </w:tc>
      </w:tr>
      <w:tr w:rsidR="00DA7408" w:rsidRPr="00DA7408" w:rsidTr="00EB1162">
        <w:trPr>
          <w:tblHeader/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8" w:firstLine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FEC31E5" wp14:editId="33430D89">
                  <wp:extent cx="1123315" cy="4000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08" w:rsidRPr="00DA7408" w:rsidTr="00EB1162">
        <w:trPr>
          <w:tblHeader/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Kéo</w:t>
            </w:r>
            <w:proofErr w:type="spellEnd"/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ind w:right="218" w:firstLine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E6B1777" wp14:editId="5D6FE9C6">
                  <wp:extent cx="615950" cy="33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08" w:rsidRPr="00DA7408" w:rsidTr="00EB1162">
        <w:trPr>
          <w:tblHeader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lông</w:t>
            </w:r>
            <w:proofErr w:type="spellEnd"/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ind w:left="560" w:right="218" w:hanging="2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683DF4" wp14:editId="1F1D7822">
                  <wp:extent cx="781050" cy="44991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46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08" w:rsidRPr="00DA7408" w:rsidTr="00EB1162">
        <w:trPr>
          <w:trHeight w:val="688"/>
          <w:tblHeader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ind w:left="560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896768F" wp14:editId="4F4F2D5B">
                  <wp:extent cx="1209675" cy="5334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08" w:rsidRPr="00DA7408" w:rsidTr="00EB1162">
        <w:trPr>
          <w:tblHeader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dán</w:t>
            </w:r>
            <w:proofErr w:type="spellEnd"/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ind w:left="560" w:right="218" w:hanging="2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8BDAFF" wp14:editId="2F5D216F">
                  <wp:extent cx="790195" cy="52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83" cy="52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08" w:rsidRPr="00DA7408" w:rsidTr="00EB1162">
        <w:trPr>
          <w:tblHeader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chì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tẩy</w:t>
            </w:r>
            <w:proofErr w:type="spellEnd"/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7408" w:rsidRPr="00DA7408" w:rsidRDefault="00DA7408" w:rsidP="00DA7408">
            <w:pPr>
              <w:widowControl w:val="0"/>
              <w:ind w:left="560" w:right="218" w:hanging="3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08" w:rsidRPr="00DA7408" w:rsidRDefault="00DA7408" w:rsidP="00DA740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D86D07" wp14:editId="63DB66E1">
                  <wp:extent cx="1514445" cy="621665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26" cy="62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408" w:rsidRPr="00DA7408" w:rsidRDefault="00DA7408" w:rsidP="00DA740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A7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647"/>
      </w:tblGrid>
      <w:tr w:rsidR="00DA7408" w:rsidRPr="00DA7408" w:rsidTr="00EB1162">
        <w:tc>
          <w:tcPr>
            <w:tcW w:w="5058" w:type="dxa"/>
          </w:tcPr>
          <w:p w:rsidR="00DA7408" w:rsidRPr="00DA7408" w:rsidRDefault="00DA7408" w:rsidP="00DA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5058" w:type="dxa"/>
          </w:tcPr>
          <w:p w:rsidR="00DA7408" w:rsidRPr="00DA7408" w:rsidRDefault="00DA7408" w:rsidP="00DA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DA7408" w:rsidRPr="00DA7408" w:rsidTr="00EB1162">
        <w:tc>
          <w:tcPr>
            <w:tcW w:w="5058" w:type="dxa"/>
          </w:tcPr>
          <w:p w:rsidR="00DA7408" w:rsidRPr="00DA7408" w:rsidRDefault="00DA7408" w:rsidP="00DA740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DA7408" w:rsidRPr="00DA7408" w:rsidRDefault="00DA7408" w:rsidP="00DA74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video “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(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A7408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Pr="00DA740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https://youtu.be/BQ4JPhFRRkc</w:t>
              </w:r>
            </w:hyperlink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A7408" w:rsidRPr="00DA7408" w:rsidRDefault="00DA7408" w:rsidP="00DA74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7"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7"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7"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DA7408" w:rsidRPr="00DA7408" w:rsidRDefault="00DA7408" w:rsidP="00DA74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7408" w:rsidRPr="00DA7408" w:rsidRDefault="00DA7408" w:rsidP="00DA74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proofErr w:type="gram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proofErr w:type="gram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(1)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cm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vạch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cm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vạch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(2)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cm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cm</w:t>
            </w: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(3)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dễ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dàng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A740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(4)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biểu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tượng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trí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A740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Phiếu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phiếu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mời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DA740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cấu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như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thế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củng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cố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nối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DA74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Dặn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chuẩn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8" w:type="dxa"/>
          </w:tcPr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</w:t>
            </w: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tê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giác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thước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A7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đủ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đo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lắng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nghe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hành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bày</w:t>
            </w:r>
            <w:proofErr w:type="spellEnd"/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Hs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DA74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gấp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cấu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ghép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nhau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dài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 cm.</w:t>
            </w:r>
            <w:r w:rsidRPr="00DA74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vạch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cm.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thước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nhau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bởi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khớp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xoay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dễ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dàng</w:t>
            </w:r>
            <w:proofErr w:type="spellEnd"/>
            <w:r w:rsidRPr="00DA74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A74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</w:tr>
    </w:tbl>
    <w:p w:rsidR="001C4326" w:rsidRPr="00DA7408" w:rsidRDefault="001C4326" w:rsidP="00DA7408">
      <w:pPr>
        <w:rPr>
          <w:rFonts w:ascii="Times New Roman" w:hAnsi="Times New Roman" w:cs="Times New Roman"/>
        </w:rPr>
      </w:pPr>
    </w:p>
    <w:sectPr w:rsidR="001C4326" w:rsidRPr="00DA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1C68BF"/>
    <w:rsid w:val="00247253"/>
    <w:rsid w:val="004613AC"/>
    <w:rsid w:val="0095220A"/>
    <w:rsid w:val="00C9480E"/>
    <w:rsid w:val="00DA7408"/>
    <w:rsid w:val="00E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s://youtu.be/BQ4JPhFRRk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</cp:revision>
  <dcterms:created xsi:type="dcterms:W3CDTF">2025-02-13T00:53:00Z</dcterms:created>
  <dcterms:modified xsi:type="dcterms:W3CDTF">2025-02-13T02:45:00Z</dcterms:modified>
</cp:coreProperties>
</file>