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F6" w:rsidRPr="00854650" w:rsidRDefault="00A743F6" w:rsidP="00A743F6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A743F6" w:rsidRPr="00854650" w:rsidRDefault="00A743F6" w:rsidP="00A743F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: TIẾNG VIỆT - LỚP 3</w:t>
      </w:r>
    </w:p>
    <w:p w:rsidR="00A743F6" w:rsidRPr="00854650" w:rsidRDefault="00A743F6" w:rsidP="00A743F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BÀI 1: NẮNG PHƯƠNG NAM (TIẾT 2)</w:t>
      </w:r>
    </w:p>
    <w:p w:rsidR="00A743F6" w:rsidRPr="00854650" w:rsidRDefault="00A743F6" w:rsidP="00A743F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743F6" w:rsidRPr="00854650" w:rsidRDefault="00A743F6" w:rsidP="00A743F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I. YÊU CẦU CẦN ĐẠT: </w:t>
      </w:r>
    </w:p>
    <w:p w:rsidR="00A743F6" w:rsidRPr="00854650" w:rsidRDefault="00A743F6" w:rsidP="00A743F6">
      <w:pPr>
        <w:tabs>
          <w:tab w:val="left" w:pos="432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trôi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chảy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ngắt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nghỉ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đúng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dấu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câu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biết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lời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các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nhân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người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dẫn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truyện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phù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hợp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hay.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Hiểu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nội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dung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bài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Tìm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một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truyện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về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quê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hương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viết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được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Phiếu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đọc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sách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và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diễn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lại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dáng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vóc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hoặc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hành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động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lời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nói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của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nhân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vật</w:t>
      </w:r>
      <w:proofErr w:type="spellEnd"/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A743F6" w:rsidRPr="00854650" w:rsidRDefault="00A743F6" w:rsidP="00A743F6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54650">
        <w:rPr>
          <w:rFonts w:ascii="Times New Roman" w:hAnsi="Times New Roman"/>
          <w:color w:val="000000"/>
          <w:sz w:val="26"/>
          <w:szCs w:val="26"/>
        </w:rPr>
        <w:t>-</w:t>
      </w:r>
      <w:r w:rsidRPr="008546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Sử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kiến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ứng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tế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tìm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tòi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giải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quyết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cuộc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54650">
        <w:rPr>
          <w:rFonts w:ascii="Times New Roman" w:hAnsi="Times New Roman"/>
          <w:color w:val="000000"/>
          <w:sz w:val="26"/>
          <w:szCs w:val="26"/>
        </w:rPr>
        <w:t>sống</w:t>
      </w:r>
      <w:proofErr w:type="spellEnd"/>
      <w:r w:rsidRPr="00854650">
        <w:rPr>
          <w:rFonts w:ascii="Times New Roman" w:hAnsi="Times New Roman"/>
          <w:color w:val="000000"/>
          <w:sz w:val="26"/>
          <w:szCs w:val="26"/>
        </w:rPr>
        <w:t>.</w:t>
      </w:r>
    </w:p>
    <w:p w:rsidR="00A743F6" w:rsidRPr="00854650" w:rsidRDefault="00A743F6" w:rsidP="00A743F6">
      <w:pPr>
        <w:pStyle w:val="ListParagraph"/>
        <w:spacing w:line="360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  <w:r w:rsidRPr="00854650">
        <w:rPr>
          <w:bCs/>
          <w:color w:val="000000"/>
          <w:sz w:val="26"/>
          <w:szCs w:val="26"/>
          <w:lang w:val="fr-FR"/>
        </w:rPr>
        <w:t xml:space="preserve">-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thêm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tự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hào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gắn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bó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hơn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nơi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mình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ra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lớn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54650">
        <w:rPr>
          <w:color w:val="000000"/>
          <w:sz w:val="26"/>
          <w:szCs w:val="26"/>
          <w:shd w:val="clear" w:color="auto" w:fill="FFFFFF"/>
        </w:rPr>
        <w:t>lên</w:t>
      </w:r>
      <w:proofErr w:type="spellEnd"/>
      <w:r w:rsidRPr="00854650">
        <w:rPr>
          <w:color w:val="000000"/>
          <w:sz w:val="26"/>
          <w:szCs w:val="26"/>
          <w:shd w:val="clear" w:color="auto" w:fill="FFFFFF"/>
        </w:rPr>
        <w:t>.</w:t>
      </w:r>
    </w:p>
    <w:p w:rsidR="00A743F6" w:rsidRPr="00854650" w:rsidRDefault="00A743F6" w:rsidP="00A743F6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II. ĐỒ DÙNG DẠY </w:t>
      </w:r>
      <w:proofErr w:type="gramStart"/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HỌC:</w:t>
      </w:r>
      <w:proofErr w:type="gramEnd"/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 </w:t>
      </w:r>
    </w:p>
    <w:p w:rsidR="00A743F6" w:rsidRPr="00854650" w:rsidRDefault="00A743F6" w:rsidP="00A743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854650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-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Tranh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minh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họa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,</w:t>
      </w:r>
      <w:r w:rsidRPr="00854650">
        <w:rPr>
          <w:rFonts w:ascii="Times New Roman" w:hAnsi="Times New Roman" w:cs="Times New Roman"/>
          <w:color w:val="000000"/>
          <w:sz w:val="26"/>
          <w:szCs w:val="26"/>
        </w:rPr>
        <w:t xml:space="preserve"> video,</w:t>
      </w:r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bảng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phụ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hướng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dẫn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luyện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đọc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:rsidR="00A743F6" w:rsidRPr="00854650" w:rsidRDefault="00A743F6" w:rsidP="00A743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854650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- </w:t>
      </w:r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SGK,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đọc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bài</w:t>
      </w:r>
      <w:proofErr w:type="spellEnd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>trước</w:t>
      </w:r>
      <w:proofErr w:type="spellEnd"/>
    </w:p>
    <w:p w:rsidR="00A743F6" w:rsidRPr="00854650" w:rsidRDefault="00A743F6" w:rsidP="00A743F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en-GB"/>
        </w:rPr>
      </w:pPr>
      <w:r w:rsidRPr="00854650">
        <w:rPr>
          <w:rFonts w:ascii="Times New Roman" w:hAnsi="Times New Roman" w:cs="Times New Roman"/>
          <w:b/>
          <w:bCs/>
          <w:color w:val="000000"/>
          <w:sz w:val="26"/>
          <w:szCs w:val="26"/>
          <w:lang w:eastAsia="en-GB"/>
        </w:rPr>
        <w:t>III. CÁC HOẠT ĐỘNG DẠY VÀ HỌC:</w:t>
      </w:r>
    </w:p>
    <w:tbl>
      <w:tblPr>
        <w:tblW w:w="10970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5390"/>
      </w:tblGrid>
      <w:tr w:rsidR="00A743F6" w:rsidRPr="00854650" w:rsidTr="00921B10">
        <w:tc>
          <w:tcPr>
            <w:tcW w:w="5580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A743F6" w:rsidRPr="00854650" w:rsidRDefault="00A743F6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HOẠT ĐỘNG CỦA GIÁO VIÊN</w:t>
            </w:r>
          </w:p>
        </w:tc>
        <w:tc>
          <w:tcPr>
            <w:tcW w:w="5390" w:type="dxa"/>
            <w:shd w:val="clear" w:color="auto" w:fill="FFFFFF"/>
            <w:tcMar>
              <w:top w:w="75" w:type="dxa"/>
              <w:left w:w="75" w:type="dxa"/>
              <w:bottom w:w="75" w:type="dxa"/>
              <w:right w:w="0" w:type="dxa"/>
            </w:tcMar>
            <w:hideMark/>
          </w:tcPr>
          <w:p w:rsidR="00A743F6" w:rsidRPr="00854650" w:rsidRDefault="00A743F6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HOẠT ĐỘNG CỦA HỌC SINH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/>
        </w:trPr>
        <w:tc>
          <w:tcPr>
            <w:tcW w:w="10970" w:type="dxa"/>
            <w:gridSpan w:val="2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3. Hoạt động 3: Luyện đọc lại: 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HS xác định giọng đọc và một số từ ngữ cần nhấn giọng; HS luyện đọc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Huê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Nam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. </w:t>
            </w:r>
          </w:p>
          <w:p w:rsidR="00A743F6" w:rsidRPr="00854650" w:rsidRDefault="00A743F6" w:rsidP="00921B10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 Vấn đáp, động não, trực quan, hoạt động nhóm, giải quyết vấn đề, lắng nghe tích cực.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/>
        </w:trPr>
        <w:tc>
          <w:tcPr>
            <w:tcW w:w="558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yêu cầu HS nêu cách hiểu của các em về nội dung bài. 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GV yêu cầu HS nhắc lại giọng đọc của người dẫn chuyện,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đoạn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Huê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Nam.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đọc lại đ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oạn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Huê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Nam.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HS đọc lại đoạn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Huê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Nam.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đoạn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Huê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đến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nắng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phương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Nam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gọi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thi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bCs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54650">
              <w:rPr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85465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854650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bCs/>
                <w:color w:val="000000"/>
                <w:sz w:val="26"/>
                <w:szCs w:val="26"/>
              </w:rPr>
              <w:t>tuyên</w:t>
            </w:r>
            <w:proofErr w:type="spellEnd"/>
            <w:r w:rsidRPr="00854650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bCs/>
                <w:color w:val="000000"/>
                <w:sz w:val="26"/>
                <w:szCs w:val="26"/>
              </w:rPr>
              <w:t>dương</w:t>
            </w:r>
            <w:proofErr w:type="spellEnd"/>
            <w:r w:rsidRPr="00854650">
              <w:rPr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color w:val="000000"/>
                <w:sz w:val="26"/>
                <w:szCs w:val="26"/>
                <w:lang w:val="nl-NL"/>
              </w:rPr>
              <w:t>- GV gọi HS đọc cả bài.</w:t>
            </w:r>
          </w:p>
          <w:p w:rsidR="00A743F6" w:rsidRPr="00854650" w:rsidRDefault="00A743F6" w:rsidP="00921B1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color w:val="000000"/>
                <w:sz w:val="26"/>
                <w:szCs w:val="26"/>
                <w:lang w:val="nl-NL"/>
              </w:rPr>
              <w:t>- GV tổ chức cho HS nhận xét.</w:t>
            </w:r>
          </w:p>
          <w:p w:rsidR="00A743F6" w:rsidRPr="00854650" w:rsidRDefault="00A743F6" w:rsidP="00921B1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color w:val="000000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539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Xúc động vì tình bạn thân thiết giữa ba bạn nhỏ miền Nam với một bạn nhỏ miền Bắc/ Xúc động vì các bạn nhỏ miền Nam thương miền Bắc đang chịu thời tiết giá lạnh, muốn gửi ra Bắc một chút nắng ấm.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B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iết diễn tả đúng lời nhân vật; phân biệt lời dẫn chuyện với lời nhân vật.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đọc lại đoạn.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lại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đoạn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trước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lớp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lắng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nghe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HSVT đọc cả bài.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nhận xét bạn.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nghe, nhận xét.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/>
        </w:trPr>
        <w:tc>
          <w:tcPr>
            <w:tcW w:w="10970" w:type="dxa"/>
            <w:gridSpan w:val="2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 xml:space="preserve">4. Hoạt động 4: Đọc mở rộng –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một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truyện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quê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hương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a)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Viết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Phiếu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sách</w:t>
            </w:r>
            <w:proofErr w:type="spellEnd"/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</w:p>
          <w:p w:rsidR="00A743F6" w:rsidRPr="00854650" w:rsidRDefault="00A743F6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cá nhân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/>
        </w:trPr>
        <w:tc>
          <w:tcPr>
            <w:tcW w:w="558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GV gọi HS đọc yêu cầu Bài tập 2a: 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1A109DD" wp14:editId="5A0433D5">
                  <wp:extent cx="3314700" cy="1264920"/>
                  <wp:effectExtent l="0" t="0" r="0" b="0"/>
                  <wp:docPr id="50" name="Picture 50" descr="Description: Nắng phương nam trang 78, 79, 80 Tiếng Việt lớp 3 Tập 2 |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Nắng phương nam trang 78, 79, 80 Tiếng Việt lớp 3 Tập 2 |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HS: 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thú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vị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mời đại diện 3 - 4 HS đọc bài.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HS.</w:t>
            </w:r>
          </w:p>
        </w:tc>
        <w:tc>
          <w:tcPr>
            <w:tcW w:w="539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- 1HS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dõi</w:t>
            </w:r>
            <w:proofErr w:type="spellEnd"/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BT.</w:t>
            </w:r>
          </w:p>
          <w:p w:rsidR="00A743F6" w:rsidRPr="00854650" w:rsidRDefault="00A743F6" w:rsidP="00921B10">
            <w:pPr>
              <w:tabs>
                <w:tab w:val="left" w:pos="3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viết Phiếu đọc sách vào vở bài tập.</w:t>
            </w:r>
          </w:p>
          <w:p w:rsidR="00A743F6" w:rsidRPr="00854650" w:rsidRDefault="00A743F6" w:rsidP="00921B10">
            <w:pPr>
              <w:tabs>
                <w:tab w:val="left" w:pos="3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A743F6" w:rsidRPr="00854650" w:rsidRDefault="00A743F6" w:rsidP="00921B10">
            <w:pPr>
              <w:tabs>
                <w:tab w:val="left" w:pos="32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- 3 - 4HS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Dự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thơ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Nhớ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Hanh</w:t>
            </w:r>
            <w:proofErr w:type="spellEnd"/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con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nghĩ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quê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hương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sửa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/>
        </w:trPr>
        <w:tc>
          <w:tcPr>
            <w:tcW w:w="10970" w:type="dxa"/>
            <w:gridSpan w:val="2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b.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Diễn tả lại dáng vẻ hoặc hành động, lời nói của một nhân vật trong truyện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a. Mục tiêu: HS diễn tả lại dáng vẻ hoặc hành động, lời nói của một nhân vật trong truyện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Vấn đáp, động não, trực quan, hoạt động nhóm, giải quyết vấn đề, lắng nghe tích cực.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/>
        </w:trPr>
        <w:tc>
          <w:tcPr>
            <w:tcW w:w="558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gọi HS đọc yêu cầu bài 2b.</w:t>
            </w:r>
          </w:p>
          <w:p w:rsidR="00A743F6" w:rsidRPr="00854650" w:rsidRDefault="00A743F6" w:rsidP="00921B10">
            <w:pPr>
              <w:tabs>
                <w:tab w:val="left" w:pos="476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yêu cầu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thảo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đôi</w:t>
            </w:r>
            <w:proofErr w:type="spellEnd"/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mời đại diện 3-4 HS trình bày.</w:t>
            </w:r>
          </w:p>
          <w:p w:rsidR="00A743F6" w:rsidRPr="00854650" w:rsidRDefault="00A743F6" w:rsidP="00921B10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539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đọc yêu cầu bài tập 2b.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thảo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luận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- 3-4 HS trình bày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nghe.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/>
        </w:trPr>
        <w:tc>
          <w:tcPr>
            <w:tcW w:w="10970" w:type="dxa"/>
            <w:gridSpan w:val="2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C. Hoạt động nối tiếp: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HS ôn lại những kiến thức, kĩ năng đã học, chuẩn bị bài cho tiết sau.</w:t>
            </w:r>
          </w:p>
          <w:p w:rsidR="00A743F6" w:rsidRPr="00854650" w:rsidRDefault="00A743F6" w:rsidP="00921B10">
            <w:pPr>
              <w:tabs>
                <w:tab w:val="left" w:pos="430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đàm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thoại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vấn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đáp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c.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A743F6" w:rsidRPr="00854650" w:rsidTr="00921B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/>
        </w:trPr>
        <w:tc>
          <w:tcPr>
            <w:tcW w:w="558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</w:t>
            </w: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GV</w:t>
            </w: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yêu cầu </w:t>
            </w: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HS</w:t>
            </w: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nêu </w:t>
            </w: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lại nội dung bài học.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GV nhận xét, tuyên dương.</w:t>
            </w:r>
          </w:p>
          <w:p w:rsidR="00A743F6" w:rsidRPr="00854650" w:rsidRDefault="00A743F6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dặn HS về nhà chuẩn bị bài tiếp theo</w:t>
            </w:r>
          </w:p>
        </w:tc>
        <w:tc>
          <w:tcPr>
            <w:tcW w:w="5390" w:type="dxa"/>
            <w:shd w:val="clear" w:color="auto" w:fill="auto"/>
          </w:tcPr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 HS nêu.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743F6" w:rsidRPr="00854650" w:rsidRDefault="00A743F6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HS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lắng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A743F6" w:rsidRPr="00854650" w:rsidRDefault="00A743F6" w:rsidP="00A743F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743F6" w:rsidRPr="00854650" w:rsidRDefault="00A743F6" w:rsidP="00A743F6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IV. ĐIỀU CHỈNH SAU BÀI DẠY:</w:t>
      </w:r>
    </w:p>
    <w:p w:rsidR="00FB32E8" w:rsidRDefault="00A743F6" w:rsidP="00A743F6">
      <w:r w:rsidRPr="0085465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…………………………………………………………………………………….…………………………………………………………………………………………….………</w:t>
      </w:r>
      <w:bookmarkStart w:id="0" w:name="_GoBack"/>
      <w:bookmarkEnd w:id="0"/>
    </w:p>
    <w:sectPr w:rsidR="00FB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EE"/>
    <w:rsid w:val="00A743F6"/>
    <w:rsid w:val="00AA06EE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6DA5B-4B28-439B-8A5E-EF9A3B62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F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A743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A743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2025-04-04T09:04:00Z</dcterms:created>
  <dcterms:modified xsi:type="dcterms:W3CDTF">2025-04-04T09:05:00Z</dcterms:modified>
</cp:coreProperties>
</file>