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88D" w:rsidRPr="006411C5" w:rsidRDefault="00BF188D" w:rsidP="00BF188D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KẾ HOẠCH BÀI DẠY</w:t>
      </w:r>
    </w:p>
    <w:p w:rsidR="00BF188D" w:rsidRPr="006411C5" w:rsidRDefault="00BF188D" w:rsidP="00BF188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MÔN</w:t>
      </w: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: TỰ NHIÊN VÀ XÃ HỘI - LỚP 3</w:t>
      </w:r>
    </w:p>
    <w:p w:rsidR="00BF188D" w:rsidRPr="006411C5" w:rsidRDefault="00BF188D" w:rsidP="00BF188D">
      <w:pPr>
        <w:pStyle w:val="Heading1"/>
        <w:spacing w:before="0" w:line="360" w:lineRule="auto"/>
        <w:jc w:val="center"/>
        <w:rPr>
          <w:b/>
          <w:sz w:val="28"/>
          <w:szCs w:val="28"/>
        </w:rPr>
      </w:pPr>
      <w:r w:rsidRPr="006411C5">
        <w:rPr>
          <w:b/>
          <w:sz w:val="28"/>
          <w:szCs w:val="28"/>
        </w:rPr>
        <w:t>BÀI 18: SỬ DỤNG HỢP LÍ THỰC VẬT VÀ ĐỘNG VẬT (TIẾT 2)</w:t>
      </w:r>
    </w:p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 xml:space="preserve">I. YÊU CẦU CẦN ĐẠT </w:t>
      </w:r>
    </w:p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, HS:</w:t>
      </w:r>
    </w:p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ví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dụ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11C5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. Chia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xung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quanh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b/>
          <w:i/>
          <w:sz w:val="28"/>
          <w:szCs w:val="28"/>
        </w:rPr>
        <w:t>*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</w:rPr>
        <w:t>chung</w:t>
      </w:r>
      <w:proofErr w:type="spellEnd"/>
      <w:r w:rsidRPr="006411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6411C5">
        <w:rPr>
          <w:rFonts w:ascii="Times New Roman" w:hAnsi="Times New Roman" w:cs="Times New Roman"/>
          <w:b/>
          <w:i/>
          <w:sz w:val="28"/>
          <w:szCs w:val="28"/>
        </w:rPr>
        <w:t xml:space="preserve">* 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641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6411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/>
          <w:i/>
          <w:sz w:val="28"/>
          <w:szCs w:val="28"/>
        </w:rPr>
        <w:t>riêng</w:t>
      </w:r>
      <w:proofErr w:type="spellEnd"/>
      <w:r w:rsidRPr="006411C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r w:rsidRPr="006411C5">
        <w:rPr>
          <w:rFonts w:ascii="Times New Roman" w:hAnsi="Times New Roman" w:cs="Times New Roman"/>
          <w:noProof/>
          <w:sz w:val="28"/>
          <w:szCs w:val="28"/>
        </w:rPr>
        <w:t>Đưa ra ý kiến, phân tích và ra quyết định để giải quyết tình huống trong bài học; thu thập thông tin . Sử dụng động vật thực vật hợp lí.</w:t>
      </w:r>
    </w:p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,</w:t>
      </w:r>
      <w:r w:rsidRPr="006411C5">
        <w:rPr>
          <w:rFonts w:ascii="Times New Roman" w:hAnsi="Times New Roman" w:cs="Times New Roman"/>
          <w:noProof/>
          <w:sz w:val="28"/>
          <w:szCs w:val="28"/>
        </w:rPr>
        <w:t xml:space="preserve"> chăm chỉ, yêu thiên nhiên.</w:t>
      </w:r>
    </w:p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>II. ĐỒ DÙNG DẠY HỌC</w:t>
      </w:r>
    </w:p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6411C5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6411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Pr="006411C5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phim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411C5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SGK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póng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to,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thập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SGK.</w:t>
      </w:r>
    </w:p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Pr="006411C5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6411C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411C5">
        <w:rPr>
          <w:rFonts w:ascii="Times New Roman" w:hAnsi="Times New Roman" w:cs="Times New Roman"/>
          <w:sz w:val="28"/>
          <w:szCs w:val="28"/>
        </w:rPr>
        <w:t>SGK, VBT.</w:t>
      </w:r>
    </w:p>
    <w:p w:rsidR="00BF188D" w:rsidRPr="006411C5" w:rsidRDefault="00BF188D" w:rsidP="00BF188D">
      <w:pPr>
        <w:spacing w:after="0" w:line="36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80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0"/>
        <w:gridCol w:w="4680"/>
      </w:tblGrid>
      <w:tr w:rsidR="00BF188D" w:rsidRPr="006411C5" w:rsidTr="002D2A29">
        <w:trPr>
          <w:trHeight w:val="523"/>
        </w:trPr>
        <w:tc>
          <w:tcPr>
            <w:tcW w:w="6120" w:type="dxa"/>
            <w:shd w:val="clear" w:color="auto" w:fill="auto"/>
          </w:tcPr>
          <w:p w:rsidR="00BF188D" w:rsidRPr="006411C5" w:rsidRDefault="00BF188D" w:rsidP="002D2A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680" w:type="dxa"/>
            <w:shd w:val="clear" w:color="auto" w:fill="auto"/>
          </w:tcPr>
          <w:p w:rsidR="00BF188D" w:rsidRPr="006411C5" w:rsidRDefault="00BF188D" w:rsidP="002D2A2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BF188D" w:rsidRPr="006411C5" w:rsidTr="002D2A29">
        <w:tc>
          <w:tcPr>
            <w:tcW w:w="6120" w:type="dxa"/>
            <w:shd w:val="clear" w:color="auto" w:fill="auto"/>
          </w:tcPr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mở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đầu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hứng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khơi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gợi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Cách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Vườn</w:t>
            </w:r>
            <w:proofErr w:type="spellEnd"/>
            <w:proofErr w:type="gram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” (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Nguyệt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Hằng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GV 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proofErr w:type="gram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”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thức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mới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Bày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tỏ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chưa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đúng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SGK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78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7CEE1C9" wp14:editId="76B8A17A">
                  <wp:extent cx="2918460" cy="2164080"/>
                  <wp:effectExtent l="0" t="0" r="0" b="7620"/>
                  <wp:docPr id="92" name="Picture 92" descr="Description: C:\Users\Duc\Pictures\Screenshots\Screenshot (459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Description: C:\Users\Duc\Pictures\Screenshots\Screenshot (459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8460" cy="216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-GV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rút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ra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Chúng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nên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sử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hợp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lí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cuộc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sống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hằng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Tuyệt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đối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không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săn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bắt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buôn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bán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vaatjhoang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dã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vì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đó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là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việc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làm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vi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phạm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pháp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luật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2: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Sưu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tầm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thông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tin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chia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việc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sử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địa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phương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Mục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sưu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tầm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kiếm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sống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Cách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hành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1: GV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bảng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9"/>
              <w:gridCol w:w="1530"/>
              <w:gridCol w:w="1530"/>
            </w:tblGrid>
            <w:tr w:rsidR="00BF188D" w:rsidRPr="006411C5" w:rsidTr="002D2A29">
              <w:tc>
                <w:tcPr>
                  <w:tcW w:w="1529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sử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dụng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động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vật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vật</w:t>
                  </w:r>
                  <w:proofErr w:type="spellEnd"/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xét</w:t>
                  </w:r>
                  <w:proofErr w:type="spellEnd"/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xuất</w:t>
                  </w:r>
                  <w:proofErr w:type="spellEnd"/>
                </w:p>
                <w:p w:rsidR="00BF188D" w:rsidRPr="006411C5" w:rsidRDefault="00BF188D" w:rsidP="002D2A2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Nếu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BF188D" w:rsidRPr="006411C5" w:rsidTr="002D2A29">
              <w:tc>
                <w:tcPr>
                  <w:tcW w:w="1529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188D" w:rsidRPr="006411C5" w:rsidTr="002D2A29">
              <w:tc>
                <w:tcPr>
                  <w:tcW w:w="1529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188D" w:rsidRPr="006411C5" w:rsidTr="002D2A29">
              <w:tc>
                <w:tcPr>
                  <w:tcW w:w="1529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188D" w:rsidRPr="006411C5" w:rsidTr="002D2A29">
              <w:tc>
                <w:tcPr>
                  <w:tcW w:w="1529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F188D" w:rsidRPr="006411C5" w:rsidRDefault="00BF188D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2: 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“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proofErr w:type="gram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hoang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Vi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”.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cầu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nhà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cùng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gia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đình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hiện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việc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sử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hợp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lí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cuộc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sống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hằng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6411C5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4680" w:type="dxa"/>
            <w:shd w:val="clear" w:color="auto" w:fill="auto"/>
          </w:tcPr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4.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8,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11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F188D" w:rsidRPr="006411C5" w:rsidRDefault="00BF188D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8: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Nếu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lưới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tất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mất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cân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môi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thậm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loài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quý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hiếm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11: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nhiều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ngựa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kiệt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sức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-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12: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Săn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buôn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thụ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pháp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luật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Đại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diện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9"/>
              <w:gridCol w:w="1530"/>
              <w:gridCol w:w="1530"/>
            </w:tblGrid>
            <w:tr w:rsidR="00BF188D" w:rsidRPr="006411C5" w:rsidTr="002D2A29">
              <w:tc>
                <w:tcPr>
                  <w:tcW w:w="1529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Cách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sử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dụng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động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vật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thực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vật</w:t>
                  </w:r>
                  <w:proofErr w:type="spellEnd"/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xét</w:t>
                  </w:r>
                  <w:proofErr w:type="spellEnd"/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Đề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xuất</w:t>
                  </w:r>
                  <w:proofErr w:type="spellEnd"/>
                </w:p>
                <w:p w:rsidR="00BF188D" w:rsidRPr="006411C5" w:rsidRDefault="00BF188D" w:rsidP="002D2A2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(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Nếu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có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)</w:t>
                  </w:r>
                </w:p>
              </w:tc>
            </w:tr>
            <w:tr w:rsidR="00BF188D" w:rsidRPr="006411C5" w:rsidTr="002D2A29">
              <w:tc>
                <w:tcPr>
                  <w:tcW w:w="1529" w:type="dxa"/>
                  <w:shd w:val="clear" w:color="auto" w:fill="auto"/>
                  <w:vAlign w:val="center"/>
                  <w:hideMark/>
                </w:tcPr>
                <w:p w:rsidR="00BF188D" w:rsidRPr="006411C5" w:rsidRDefault="00BF188D" w:rsidP="002D2A2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Phá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rừng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lấy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gỗ</w:t>
                  </w:r>
                  <w:proofErr w:type="spellEnd"/>
                </w:p>
              </w:tc>
              <w:tc>
                <w:tcPr>
                  <w:tcW w:w="1530" w:type="dxa"/>
                  <w:shd w:val="clear" w:color="auto" w:fill="auto"/>
                  <w:vAlign w:val="center"/>
                  <w:hideMark/>
                </w:tcPr>
                <w:p w:rsidR="00BF188D" w:rsidRPr="006411C5" w:rsidRDefault="00BF188D" w:rsidP="002D2A2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lí</w:t>
                  </w:r>
                  <w:proofErr w:type="spellEnd"/>
                </w:p>
              </w:tc>
              <w:tc>
                <w:tcPr>
                  <w:tcW w:w="1530" w:type="dxa"/>
                  <w:shd w:val="clear" w:color="auto" w:fill="auto"/>
                  <w:vAlign w:val="center"/>
                  <w:hideMark/>
                </w:tcPr>
                <w:p w:rsidR="00BF188D" w:rsidRPr="006411C5" w:rsidRDefault="00BF188D" w:rsidP="002D2A29">
                  <w:pPr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rừng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trồng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rừng</w:t>
                  </w:r>
                  <w:proofErr w:type="spellEnd"/>
                </w:p>
              </w:tc>
            </w:tr>
            <w:tr w:rsidR="00BF188D" w:rsidRPr="006411C5" w:rsidTr="002D2A29">
              <w:tc>
                <w:tcPr>
                  <w:tcW w:w="1529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Nuôi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tằm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để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lấy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tơ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dệt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lụa</w:t>
                  </w:r>
                  <w:proofErr w:type="spellEnd"/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lí</w:t>
                  </w:r>
                  <w:proofErr w:type="spellEnd"/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F188D" w:rsidRPr="006411C5" w:rsidTr="002D2A29">
              <w:tc>
                <w:tcPr>
                  <w:tcW w:w="1529" w:type="dxa"/>
                  <w:shd w:val="clear" w:color="auto" w:fill="auto"/>
                  <w:hideMark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Săn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bắt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thú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rừng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để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thức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ăn</w:t>
                  </w:r>
                  <w:proofErr w:type="spellEnd"/>
                </w:p>
              </w:tc>
              <w:tc>
                <w:tcPr>
                  <w:tcW w:w="1530" w:type="dxa"/>
                  <w:shd w:val="clear" w:color="auto" w:fill="auto"/>
                  <w:hideMark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Không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lí</w:t>
                  </w:r>
                  <w:proofErr w:type="spellEnd"/>
                </w:p>
              </w:tc>
              <w:tc>
                <w:tcPr>
                  <w:tcW w:w="1530" w:type="dxa"/>
                  <w:shd w:val="clear" w:color="auto" w:fill="auto"/>
                  <w:hideMark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Bảo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vệ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loài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xử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phạt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trường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săn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bắt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trái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phép</w:t>
                  </w:r>
                  <w:proofErr w:type="spellEnd"/>
                </w:p>
              </w:tc>
            </w:tr>
            <w:tr w:rsidR="00BF188D" w:rsidRPr="006411C5" w:rsidTr="002D2A29">
              <w:tc>
                <w:tcPr>
                  <w:tcW w:w="1529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Trồng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hoa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để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trà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nước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hoa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trang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trí</w:t>
                  </w:r>
                  <w:proofErr w:type="spellEnd"/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411C5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lí</w:t>
                  </w:r>
                  <w:proofErr w:type="spellEnd"/>
                </w:p>
              </w:tc>
              <w:tc>
                <w:tcPr>
                  <w:tcW w:w="1530" w:type="dxa"/>
                  <w:shd w:val="clear" w:color="auto" w:fill="auto"/>
                </w:tcPr>
                <w:p w:rsidR="00BF188D" w:rsidRPr="006411C5" w:rsidRDefault="00BF188D" w:rsidP="002D2A29">
                  <w:pPr>
                    <w:spacing w:after="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F188D" w:rsidRPr="006411C5" w:rsidRDefault="00BF188D" w:rsidP="002D2A29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là:Tránh</w:t>
            </w:r>
            <w:proofErr w:type="spellEnd"/>
            <w:proofErr w:type="gram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lãng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phí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ăn;Ngăn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chặn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vi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săn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rừng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buôn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bán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tiêu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thụ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gấu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quá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nặng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noProof/>
                <w:sz w:val="28"/>
                <w:szCs w:val="28"/>
              </w:rPr>
              <w:t>- Các nhóm chia sẻ trước lớp, nhận xét.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khóa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88D" w:rsidRPr="006411C5" w:rsidRDefault="00BF188D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</w:p>
    <w:p w:rsidR="00BF188D" w:rsidRPr="006411C5" w:rsidRDefault="00BF188D" w:rsidP="00BF18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6411C5">
        <w:rPr>
          <w:rFonts w:ascii="Times New Roman" w:hAnsi="Times New Roman" w:cs="Times New Roman"/>
          <w:b/>
          <w:sz w:val="28"/>
          <w:szCs w:val="28"/>
          <w:lang w:val="nl-NL"/>
        </w:rPr>
        <w:t>IV. ĐIỀU CHỈNH SAU BÀI DẠY:</w:t>
      </w:r>
    </w:p>
    <w:p w:rsidR="00121ED3" w:rsidRDefault="00BF188D" w:rsidP="00BF188D">
      <w:r w:rsidRPr="006411C5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 .................................................................................................................................</w:t>
      </w:r>
      <w:bookmarkStart w:id="0" w:name="_GoBack"/>
      <w:bookmarkEnd w:id="0"/>
    </w:p>
    <w:sectPr w:rsidR="0012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94"/>
    <w:rsid w:val="00121ED3"/>
    <w:rsid w:val="00774594"/>
    <w:rsid w:val="00BF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C6B3AE-16B1-4142-BC8E-8773E6EA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8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F188D"/>
    <w:pPr>
      <w:keepNext/>
      <w:keepLines/>
      <w:spacing w:before="240" w:after="0" w:line="240" w:lineRule="auto"/>
      <w:outlineLvl w:val="0"/>
    </w:pPr>
    <w:rPr>
      <w:rFonts w:ascii="Times New Roman" w:eastAsia="Times New Roman" w:hAnsi="Times New Roman" w:cs="Times New Roman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88D"/>
    <w:rPr>
      <w:rFonts w:ascii="Times New Roman" w:eastAsia="Times New Roman" w:hAnsi="Times New Roman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2025-04-04T08:19:00Z</dcterms:created>
  <dcterms:modified xsi:type="dcterms:W3CDTF">2025-04-04T08:19:00Z</dcterms:modified>
</cp:coreProperties>
</file>