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160" w:lineRule="auto" w:line="259"/>
        <w:jc w:val="left"/>
        <w:rPr/>
      </w:pPr>
      <w:bookmarkStart w:id="0" w:name="_GoBack"/>
      <w:bookmarkEnd w:id="0"/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Ngày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soạn: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/10/2024</w:t>
      </w:r>
    </w:p>
    <w:p>
      <w:pPr>
        <w:spacing w:after="160" w:lineRule="auto" w:line="259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Ngày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dạy: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24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/10/2024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SA" w:eastAsia="en-US"/>
        </w:rPr>
        <w:t>TIẾT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SA" w:eastAsia="en-US"/>
        </w:rPr>
        <w:t>8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SA" w:eastAsia="en-US"/>
        </w:rPr>
        <w:t>ÔN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SA" w:eastAsia="en-US"/>
        </w:rPr>
        <w:t>TẬP</w:t>
      </w:r>
    </w:p>
    <w:bookmarkStart w:id="1" w:name="bookmark16"/>
    <w:bookmarkStart w:id="2" w:name="bookmark15"/>
    <w:bookmarkStart w:id="3" w:name="bookmark18"/>
    <w:bookmarkStart w:id="4" w:name="_Toc170199586"/>
    <w:p>
      <w:pPr>
        <w:keepNext/>
        <w:keepLines/>
        <w:tabs>
          <w:tab w:val="left" w:leader="none" w:pos="320"/>
          <w:tab w:val="left" w:leader="none" w:pos="620"/>
        </w:tabs>
        <w:spacing w:after="200" w:lineRule="auto" w:line="240"/>
        <w:ind w:firstLine="260"/>
        <w:jc w:val="left"/>
        <w:outlineLvl w:val="4"/>
        <w:rPr/>
      </w:pP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I.</w:t>
      </w:r>
      <w:bookmarkEnd w:id="1"/>
      <w:bookmarkEnd w:id="2"/>
      <w:bookmarkEnd w:id="3"/>
      <w:bookmarkEnd w:id="4"/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MỤC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TIÊU</w:t>
      </w:r>
    </w:p>
    <w:bookmarkStart w:id="5" w:name="bookmark19"/>
    <w:bookmarkEnd w:id="5"/>
    <w:p>
      <w:pPr>
        <w:tabs>
          <w:tab w:val="left" w:leader="none" w:pos="360"/>
          <w:tab w:val="left" w:leader="none" w:pos="62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1.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Kiến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thức.</w:t>
      </w:r>
    </w:p>
    <w:bookmarkStart w:id="6" w:name="bookmark20"/>
    <w:bookmarkEnd w:id="6"/>
    <w:p>
      <w:pPr>
        <w:tabs>
          <w:tab w:val="left" w:leader="none" w:pos="620"/>
          <w:tab w:val="left" w:leader="none" w:pos="1000"/>
        </w:tabs>
        <w:spacing w:after="200" w:lineRule="auto" w:line="240"/>
        <w:ind w:firstLine="26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Hệ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thống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lại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những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kiến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thức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đã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học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bài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đến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bài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4</w:t>
      </w:r>
    </w:p>
    <w:bookmarkStart w:id="7" w:name="bookmark22"/>
    <w:bookmarkEnd w:id="7"/>
    <w:p>
      <w:pPr>
        <w:tabs>
          <w:tab w:val="left" w:leader="none" w:pos="380"/>
          <w:tab w:val="left" w:leader="none" w:pos="62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2.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Năng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lực.</w:t>
      </w:r>
    </w:p>
    <w:bookmarkStart w:id="8" w:name="bookmark23"/>
    <w:bookmarkEnd w:id="8"/>
    <w:p>
      <w:pPr>
        <w:tabs>
          <w:tab w:val="left" w:leader="none" w:pos="620"/>
          <w:tab w:val="left" w:leader="none" w:pos="840"/>
        </w:tabs>
        <w:spacing w:after="200" w:lineRule="auto" w:line="240"/>
        <w:ind w:firstLine="260"/>
        <w:jc w:val="both"/>
        <w:rPr/>
      </w:pPr>
      <w:r>
        <w:tab/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2.1.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Năng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lực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chung</w:t>
      </w:r>
    </w:p>
    <w:p>
      <w:pPr>
        <w:tabs>
          <w:tab w:val="left" w:leader="none" w:pos="620"/>
          <w:tab w:val="left" w:leader="none" w:pos="1000"/>
        </w:tabs>
        <w:spacing w:after="200" w:lineRule="auto" w:line="240"/>
        <w:ind w:firstLine="26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Năng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lực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chủ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học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thông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qua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việc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lực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thực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hiện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các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nhiệm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vụ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giao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trên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lớp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ở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nhà.</w:t>
      </w:r>
    </w:p>
    <w:p>
      <w:pPr>
        <w:tabs>
          <w:tab w:val="left" w:leader="none" w:pos="620"/>
          <w:tab w:val="left" w:leader="none" w:pos="1000"/>
        </w:tabs>
        <w:spacing w:after="200" w:lineRule="auto" w:line="240"/>
        <w:ind w:firstLine="26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Năng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lực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giao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tiếp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hợp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tác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qua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hoạt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động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thảo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luận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nhóm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hoặc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cặp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đôi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trong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các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nhiệm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vụ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học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tập.</w:t>
      </w:r>
    </w:p>
    <w:bookmarkStart w:id="9" w:name="bookmark26"/>
    <w:bookmarkEnd w:id="9"/>
    <w:p>
      <w:pPr>
        <w:tabs>
          <w:tab w:val="left" w:leader="none" w:pos="620"/>
          <w:tab w:val="left" w:leader="none" w:pos="840"/>
        </w:tabs>
        <w:spacing w:after="200" w:lineRule="auto" w:line="240"/>
        <w:ind w:firstLine="260"/>
        <w:jc w:val="both"/>
        <w:rPr/>
      </w:pPr>
      <w:r>
        <w:tab/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2.2.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Năng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lực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đặc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thù.</w:t>
      </w:r>
    </w:p>
    <w:p>
      <w:pPr>
        <w:tabs>
          <w:tab w:val="left" w:leader="none" w:pos="620"/>
          <w:tab w:val="left" w:leader="none" w:pos="840"/>
        </w:tabs>
        <w:spacing w:after="200" w:lineRule="auto" w:line="240"/>
        <w:ind w:firstLine="260"/>
        <w:jc w:val="both"/>
        <w:rPr/>
      </w:pP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Năng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lực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tìm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hiểu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lịch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sử: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quan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sát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tranh,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ảnh,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lược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đồ;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khai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thác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sử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dụng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thông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tin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tư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liệu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để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tìm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hiểu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lịch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sử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năm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1918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đến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năm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1945.</w:t>
      </w:r>
    </w:p>
    <w:p>
      <w:pPr>
        <w:tabs>
          <w:tab w:val="left" w:leader="none" w:pos="620"/>
          <w:tab w:val="left" w:leader="none" w:pos="840"/>
        </w:tabs>
        <w:spacing w:after="200" w:lineRule="auto" w:line="240"/>
        <w:ind w:firstLine="260"/>
        <w:jc w:val="both"/>
        <w:rPr/>
      </w:pP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Năng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lực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nhận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thức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tư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duy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lịch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sử: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biết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khai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thác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tranh,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ảnh,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tư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liệu,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bảng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số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liệu,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kết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hợp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đọc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thông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tin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trong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SGK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để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nêu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những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nét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chính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về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nước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Nga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trước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khi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Liên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Xô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thành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lập;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trình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bày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những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thành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tựu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chỉ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ra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những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hạn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chế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của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công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cuộc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xây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dựng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chủ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nghĩa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xã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hội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ở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Liên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ar-SA" w:eastAsia="en-US"/>
        </w:rPr>
        <w:t>Xô.</w:t>
      </w:r>
    </w:p>
    <w:p>
      <w:pPr>
        <w:tabs>
          <w:tab w:val="left" w:leader="none" w:pos="0"/>
        </w:tabs>
        <w:spacing w:before="120" w:after="160" w:lineRule="auto" w:line="240"/>
        <w:ind w:right="-425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+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Trình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bày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những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nét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chính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về: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phong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trào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cách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mạng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sự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thành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lập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Quốc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tế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Cộng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sản,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đại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suy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thoái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kinh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tế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1929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1933,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sự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hình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thành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chủ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nghĩa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phát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xít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ở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châu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Âu.</w:t>
      </w:r>
    </w:p>
    <w:p>
      <w:pPr>
        <w:tabs>
          <w:tab w:val="left" w:leader="none" w:pos="0"/>
        </w:tabs>
        <w:spacing w:before="120" w:after="160" w:lineRule="auto" w:line="240"/>
        <w:ind w:right="-425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Nhận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biết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tình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hình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chính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sự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phát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triển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kinh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tế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của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nước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giữa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cuộc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chiến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tranh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thế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giới</w:t>
      </w:r>
    </w:p>
    <w:p>
      <w:pPr>
        <w:tabs>
          <w:tab w:val="left" w:leader="none" w:pos="0"/>
        </w:tabs>
        <w:spacing w:before="120" w:after="160" w:lineRule="auto" w:line="240"/>
        <w:ind w:right="-425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Nét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chính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Châu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Á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từ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1918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đến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1945.</w:t>
      </w:r>
    </w:p>
    <w:p>
      <w:pPr>
        <w:tabs>
          <w:tab w:val="left" w:leader="none" w:pos="0"/>
        </w:tabs>
        <w:spacing w:before="120" w:after="160" w:lineRule="auto" w:line="240"/>
        <w:ind w:right="-425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Nguyên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nhân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diễn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biến,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hậu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quả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chiến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tranh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thứ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của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đồng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minh.</w:t>
      </w:r>
    </w:p>
    <w:bookmarkStart w:id="10" w:name="bookmark30"/>
    <w:bookmarkEnd w:id="10"/>
    <w:p>
      <w:pPr>
        <w:tabs>
          <w:tab w:val="left" w:leader="none" w:pos="380"/>
          <w:tab w:val="left" w:leader="none" w:pos="62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3.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Phẩm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chất.</w:t>
      </w:r>
    </w:p>
    <w:p>
      <w:pPr>
        <w:tabs>
          <w:tab w:val="left" w:leader="none" w:pos="380"/>
          <w:tab w:val="left" w:leader="none" w:pos="62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Khâm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phục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tự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hào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về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những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thành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tựu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mà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nhân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dân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Liên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Xô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đạt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trong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công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cuộc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xây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dựng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chủ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nghĩa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xã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hội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đánh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bại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ĐQCN.</w:t>
      </w:r>
    </w:p>
    <w:p>
      <w:pPr>
        <w:spacing w:after="160"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vi-VN" w:bidi="ar-SA" w:eastAsia="en-US"/>
        </w:rPr>
        <w:t>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vi-VN" w:bidi="ar-SA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Thông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qua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việc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đánh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giá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các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sự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kiện,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nhân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vật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lịch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sử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một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cách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khách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quan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(dựa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trên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cơ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sở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khai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thác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các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thông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tin,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liệu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hình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ảnh).</w:t>
      </w:r>
    </w:p>
    <w:p>
      <w:pPr>
        <w:tabs>
          <w:tab w:val="left" w:leader="none" w:pos="380"/>
          <w:tab w:val="left" w:leader="none" w:pos="620"/>
        </w:tabs>
        <w:spacing w:after="200" w:lineRule="auto" w:line="240"/>
        <w:ind w:firstLine="260"/>
        <w:jc w:val="left"/>
        <w:rPr/>
      </w:pPr>
    </w:p>
    <w:bookmarkStart w:id="11" w:name="bookmark33"/>
    <w:bookmarkStart w:id="12" w:name="_Toc170199587"/>
    <w:bookmarkEnd w:id="11"/>
    <w:p>
      <w:pPr>
        <w:keepNext/>
        <w:keepLines/>
        <w:tabs>
          <w:tab w:val="left" w:leader="none" w:pos="400"/>
          <w:tab w:val="left" w:leader="none" w:pos="620"/>
        </w:tabs>
        <w:spacing w:after="200" w:lineRule="auto" w:line="240"/>
        <w:ind w:firstLine="260"/>
        <w:jc w:val="left"/>
        <w:outlineLvl w:val="4"/>
        <w:rPr/>
      </w:pP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II.</w:t>
      </w:r>
      <w:bookmarkEnd w:id="12"/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THIẾT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BỊ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DẠY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HỌC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HỌC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LIỆU.</w:t>
      </w:r>
    </w:p>
    <w:bookmarkStart w:id="13" w:name="bookmark35"/>
    <w:bookmarkEnd w:id="13"/>
    <w:p>
      <w:pPr>
        <w:tabs>
          <w:tab w:val="left" w:leader="none" w:pos="620"/>
          <w:tab w:val="left" w:leader="none" w:pos="98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SGK,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SGV,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SBT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Lịch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sử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Địa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lí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9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</w:p>
    <w:bookmarkStart w:id="14" w:name="bookmark40"/>
    <w:bookmarkStart w:id="15" w:name="bookmark36"/>
    <w:bookmarkStart w:id="16" w:name="_Toc170199588"/>
    <w:bookmarkEnd w:id="14"/>
    <w:bookmarkEnd w:id="15"/>
    <w:p>
      <w:pPr>
        <w:keepNext/>
        <w:keepLines/>
        <w:tabs>
          <w:tab w:val="left" w:leader="none" w:pos="460"/>
          <w:tab w:val="left" w:leader="none" w:pos="620"/>
        </w:tabs>
        <w:spacing w:after="200" w:lineRule="auto" w:line="240"/>
        <w:ind w:firstLine="260"/>
        <w:jc w:val="left"/>
        <w:outlineLvl w:val="4"/>
        <w:rPr/>
      </w:pP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III.</w:t>
      </w:r>
      <w:bookmarkEnd w:id="16"/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TIẾN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TRÌNH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DẠY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Candara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HỌC.</w:t>
      </w:r>
    </w:p>
    <w:bookmarkStart w:id="17" w:name="bookmark42"/>
    <w:bookmarkEnd w:id="17"/>
    <w:p>
      <w:pPr>
        <w:tabs>
          <w:tab w:val="left" w:leader="none" w:pos="360"/>
          <w:tab w:val="left" w:leader="none" w:pos="62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1.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Hoạt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động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mở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đầu.</w:t>
      </w:r>
    </w:p>
    <w:bookmarkStart w:id="18" w:name="bookmark43"/>
    <w:bookmarkEnd w:id="18"/>
    <w:p>
      <w:pPr>
        <w:tabs>
          <w:tab w:val="left" w:leader="none" w:pos="620"/>
          <w:tab w:val="left" w:leader="none" w:pos="1080"/>
        </w:tabs>
        <w:spacing w:after="200" w:lineRule="auto" w:line="240"/>
        <w:ind w:left="270"/>
        <w:jc w:val="both"/>
        <w:rPr/>
      </w:pPr>
      <w:r>
        <w:tab/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a)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Mục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tiêu</w:t>
      </w:r>
    </w:p>
    <w:p>
      <w:pPr>
        <w:tabs>
          <w:tab w:val="left" w:leader="none" w:pos="620"/>
        </w:tabs>
        <w:spacing w:after="200" w:lineRule="auto" w:line="240"/>
        <w:ind w:firstLine="26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Kết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nối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những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điều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đã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biết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với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những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điều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chưa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biết,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tạo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tâm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thế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hứng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khởi,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kích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thích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sự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mò,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mong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muốn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tìm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hiểu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nội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dung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bài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học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mới.</w:t>
      </w:r>
    </w:p>
    <w:bookmarkStart w:id="19" w:name="bookmark44"/>
    <w:bookmarkEnd w:id="19"/>
    <w:p>
      <w:pPr>
        <w:tabs>
          <w:tab w:val="left" w:leader="none" w:pos="620"/>
          <w:tab w:val="left" w:leader="none" w:pos="1080"/>
        </w:tabs>
        <w:spacing w:after="200" w:lineRule="auto" w:line="240"/>
        <w:jc w:val="both"/>
        <w:rPr/>
      </w:pPr>
      <w:r>
        <w:tab/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b)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Tổ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chức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thực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hiện</w:t>
      </w:r>
    </w:p>
    <w:bookmarkStart w:id="20" w:name="bookmark45"/>
    <w:bookmarkEnd w:id="20"/>
    <w:p>
      <w:pPr>
        <w:tabs>
          <w:tab w:val="left" w:leader="none" w:pos="620"/>
          <w:tab w:val="left" w:leader="none" w:pos="960"/>
        </w:tabs>
        <w:spacing w:after="200" w:lineRule="auto" w:line="240"/>
        <w:ind w:firstLine="260"/>
        <w:jc w:val="both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*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Bước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1: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Chuyển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giao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nhiệm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vụ.</w:t>
      </w:r>
    </w:p>
    <w:bookmarkStart w:id="21" w:name="bookmark48"/>
    <w:bookmarkStart w:id="22" w:name="bookmark46"/>
    <w:bookmarkEnd w:id="21"/>
    <w:bookmarkEnd w:id="22"/>
    <w:p>
      <w:pPr>
        <w:tabs>
          <w:tab w:val="left" w:leader="none" w:pos="620"/>
          <w:tab w:val="left" w:leader="none" w:pos="96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*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Bước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2: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Thực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hiện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nhiệm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vụ.</w:t>
      </w:r>
    </w:p>
    <w:p>
      <w:pPr>
        <w:tabs>
          <w:tab w:val="left" w:leader="none" w:pos="620"/>
        </w:tabs>
        <w:spacing w:after="200" w:lineRule="auto" w:line="240"/>
        <w:ind w:firstLine="260"/>
        <w:jc w:val="left"/>
        <w:rPr/>
      </w:pPr>
      <w:r>
        <w:tab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suy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nghĩ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trả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lời.</w:t>
      </w:r>
    </w:p>
    <w:bookmarkStart w:id="23" w:name="bookmark49"/>
    <w:bookmarkEnd w:id="23"/>
    <w:p>
      <w:pPr>
        <w:tabs>
          <w:tab w:val="left" w:leader="none" w:pos="620"/>
          <w:tab w:val="left" w:leader="none" w:pos="96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*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Bước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3: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Báo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cáo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thảo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luận.</w:t>
      </w:r>
    </w:p>
    <w:bookmarkStart w:id="24" w:name="bookmark50"/>
    <w:bookmarkEnd w:id="24"/>
    <w:p>
      <w:pPr>
        <w:tabs>
          <w:tab w:val="left" w:leader="none" w:pos="620"/>
          <w:tab w:val="left" w:leader="none" w:pos="980"/>
        </w:tabs>
        <w:spacing w:after="200" w:lineRule="auto" w:line="240"/>
        <w:ind w:left="27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GV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gọi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lần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lượt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đưa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câu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trả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lời,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các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khác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lắng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nghe,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nhận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xét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và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bổ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sung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(nếu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có).</w:t>
      </w:r>
    </w:p>
    <w:bookmarkStart w:id="25" w:name="bookmark51"/>
    <w:bookmarkEnd w:id="25"/>
    <w:p>
      <w:pPr>
        <w:tabs>
          <w:tab w:val="left" w:leader="none" w:pos="620"/>
          <w:tab w:val="left" w:leader="none" w:pos="96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*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Bước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4: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Kết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luận,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chốt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kiến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thức.</w:t>
      </w:r>
    </w:p>
    <w:bookmarkStart w:id="26" w:name="bookmark52"/>
    <w:bookmarkEnd w:id="26"/>
    <w:p>
      <w:pPr>
        <w:tabs>
          <w:tab w:val="left" w:leader="none" w:pos="620"/>
          <w:tab w:val="left" w:leader="none" w:pos="980"/>
        </w:tabs>
        <w:spacing w:after="200" w:lineRule="auto" w:line="240"/>
        <w:ind w:left="27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GV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nhận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xét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phần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trình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bày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của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GV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không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chốt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đúng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sai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mà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chỉ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định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hướng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vào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bài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học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mới.</w:t>
      </w:r>
    </w:p>
    <w:bookmarkStart w:id="27" w:name="bookmark53"/>
    <w:bookmarkEnd w:id="27"/>
    <w:p>
      <w:pPr>
        <w:tabs>
          <w:tab w:val="left" w:leader="none" w:pos="360"/>
          <w:tab w:val="left" w:leader="none" w:pos="620"/>
        </w:tabs>
        <w:spacing w:after="200" w:lineRule="auto" w:line="240"/>
        <w:ind w:firstLine="260"/>
        <w:jc w:val="left"/>
        <w:rPr/>
      </w:pP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2.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Hoạt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động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2.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Hình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thành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kiến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thức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mới..</w:t>
      </w:r>
    </w:p>
    <w:bookmarkStart w:id="28" w:name="bookmark54"/>
    <w:bookmarkEnd w:id="28"/>
    <w:p>
      <w:pPr>
        <w:tabs>
          <w:tab w:val="left" w:leader="none" w:pos="620"/>
          <w:tab w:val="left" w:leader="none" w:pos="840"/>
        </w:tabs>
        <w:spacing w:after="200" w:lineRule="auto" w:line="240"/>
        <w:ind w:firstLine="260"/>
        <w:jc w:val="both"/>
        <w:rPr/>
      </w:pP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2.1.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Hoạt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động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1: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Nước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Nga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Xô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viết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từ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năm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1918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đến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năm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egoe UI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1922</w:t>
      </w:r>
    </w:p>
    <w:bookmarkStart w:id="29" w:name="bookmark55"/>
    <w:bookmarkEnd w:id="29"/>
    <w:p>
      <w:pPr>
        <w:pStyle w:val="style0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a.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Mục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tiêu: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nêu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những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nét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chính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tình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hình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nước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Nga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Xô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viết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</w:p>
    <w:p>
      <w:pPr>
        <w:tabs>
          <w:tab w:val="left" w:leader="none" w:pos="620"/>
          <w:tab w:val="left" w:leader="none" w:pos="1080"/>
        </w:tabs>
        <w:spacing w:after="200" w:lineRule="auto" w:line="240"/>
        <w:ind w:left="27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trước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khi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Liên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Xô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được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thành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lập.</w:t>
      </w:r>
    </w:p>
    <w:bookmarkStart w:id="30" w:name="bookmark56"/>
    <w:bookmarkEnd w:id="30"/>
    <w:p>
      <w:pPr>
        <w:tabs>
          <w:tab w:val="left" w:leader="none" w:pos="620"/>
          <w:tab w:val="left" w:leader="none" w:pos="1080"/>
        </w:tabs>
        <w:spacing w:after="200"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b.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Tổ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chức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thực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231f20"/>
          <w:sz w:val="28"/>
          <w:szCs w:val="28"/>
          <w:highlight w:val="none"/>
          <w:vertAlign w:val="baseline"/>
          <w:em w:val="none"/>
          <w:lang w:val="en-US" w:bidi="ar-SA" w:eastAsia="en-US"/>
        </w:rPr>
        <w:t>hiện</w:t>
      </w:r>
      <w:bookmarkStart w:id="31" w:name="_Hlk113448083"/>
      <w:bookmarkStart w:id="32" w:name="_Hlk105506582"/>
      <w:bookmarkEnd w:id="31"/>
    </w:p>
    <w:tbl>
      <w:tblPr>
        <w:tblW w:w="897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2"/>
        <w:gridCol w:w="3445"/>
      </w:tblGrid>
      <w:tr>
        <w:trPr>
          <w:cantSplit w:val="false"/>
          <w:tblHeader w:val="false"/>
          <w:jc w:val="left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60" w:lineRule="auto" w:line="259"/>
              <w:jc w:val="center"/>
              <w:rPr/>
            </w:pPr>
          </w:p>
          <w:p>
            <w:pPr>
              <w:spacing w:after="160" w:lineRule="auto" w:line="259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Hoạt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động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giáo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viên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–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học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sinh</w:t>
            </w:r>
          </w:p>
          <w:p>
            <w:pPr>
              <w:spacing w:after="160" w:lineRule="auto" w:line="259"/>
              <w:jc w:val="center"/>
              <w:rPr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60" w:lineRule="auto" w:line="259"/>
              <w:jc w:val="center"/>
              <w:rPr/>
            </w:pPr>
          </w:p>
          <w:p>
            <w:pPr>
              <w:spacing w:after="160" w:lineRule="auto" w:line="259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Nội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dung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</w:tr>
      <w:tr>
        <w:tblPrEx/>
        <w:trPr>
          <w:cantSplit w:val="false"/>
          <w:trHeight w:val="971" w:hRule="atLeast"/>
          <w:tblHeader w:val="false"/>
          <w:jc w:val="left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Bước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1: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Chuyển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giao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nhiệm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vụ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(GV)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?Hãy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trình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bày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hình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sau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tháng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Mười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1917?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Nêu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nhận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xét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em.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hiện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một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trực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“thù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trong,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giặc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ngoài”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viết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1918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1920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khi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quân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đội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quốc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vây,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quyền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chỉ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còn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kiểm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soát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được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vùng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trọng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tâm;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thì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lực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nổi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loạn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ở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nhiều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nơi.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Sau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thắng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lợi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Mười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1917,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quân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đội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14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quốc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(Anh,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Pháp,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Mỹ,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Nhật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Bản,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…)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câu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kết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với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lực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mở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cuộc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tấn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công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vũ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trang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viết.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sym w:font="Wingdings" w:char="f0e0"/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rơi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nguy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hiểm,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khó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khăn.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GV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nhấn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mạnh: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Sau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tháng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10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1917,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một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cuộc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có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ý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nghĩa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lịch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sử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trọng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chỉ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đối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Nga,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còn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đối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oàn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giới.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vào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thời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kỳ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quá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độ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chủ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nghĩa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xã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hội.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Tuy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nhiên,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cuối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1918,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nội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chiến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nổ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ra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ở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Nga,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bọn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địa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chủ,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bọn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bản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bị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lật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đổ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nổi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dậy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chống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quyền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Xô-viết.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Từ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ngoài,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chịu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sự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bao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vây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cấm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vận,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thiệp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vũ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14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quốc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do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Anh,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Pháp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cầm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đầu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hòng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bóp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chết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Xô-viết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còn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non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trẻ.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Cuộc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nội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chiến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thiệp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ngoài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làm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càng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thêm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khó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khăn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chồng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chất.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?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Trước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hình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đó,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có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biện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pháp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gì?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1919: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thực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hiện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thời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chiến”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1920: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Tiêu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diệt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ngoại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xâm,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nội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phản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Xóa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bỏ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bất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công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hội,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thực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hiện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quyền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tự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dân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chủ,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quyền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tự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quyết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3/1921: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Thực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hiện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tế”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mới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thời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chiến”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(nội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dung,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kết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quả)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mới”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(nội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dung,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kết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quả)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GV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mở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rộng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thêm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về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mới”: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ff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Về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chất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mới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triển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hàng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hóa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nhiều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phần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phần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gồm: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nhân,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tập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thể,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có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vốn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đầu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ngoài,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…).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phần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đều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có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trò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nhiệm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vụ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nhau,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phần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phát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triển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mối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quan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hệ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vừa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hỗ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vừa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cạnh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tranh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nhau.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GV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hệ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Việt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222222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Nam: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Qua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hơn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30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đổi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mới,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Đảng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vận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dụng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đưa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nền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phát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triển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theo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V.I.Lê-nin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điều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kiện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hoàn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cảnh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mới,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ngừng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được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bổ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sung,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phát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triển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hoàn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thiện.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?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Theo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em,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vì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sao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phải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thay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thời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chiến”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bằng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mới”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?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Em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có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nhận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xét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gì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về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hai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trên?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thời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chiến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còn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phù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hợp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hình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vì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nó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ngăn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cản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kìm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hãm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nền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Người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lao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động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còn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hào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hứng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xuất,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bọn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phản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thì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luôn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tìm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phá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hoại.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sym w:font="Wingdings" w:char="f0e0"/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hai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tiến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giúp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thoát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khỏi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vòng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vây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kẻ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thù,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đưa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nền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dần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phục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hồi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triển.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?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Vì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sao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nhân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dân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viết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bảo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vệ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được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quả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tháng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Mười?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Nhờ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sự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ủng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nhân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dân,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lòng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yêu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được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huy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mẽ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bảo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vệ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mới,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Hồng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quân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chiến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đấu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dũng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cảm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bảo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vệ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Tổ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quốc,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Đảng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Bôn-sê-vích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phù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hợp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đem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lại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GV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chốt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: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thấy,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sau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Mười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1917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công,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phải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đối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mặt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với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rất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nhiều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khó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khăn,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thử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thách.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Tuy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nhiên,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dưới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sự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lãnh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đạo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Lê-nin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Đảng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Bôn-sê-vích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cùng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với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tiến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bộ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thời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chiến”,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mới”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giúp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viết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dần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vượt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khó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khăn,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ổn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định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hình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“Chính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mới”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Lênin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vẫn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tính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thời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đại,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thể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hiện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duy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tầm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nhìn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vượt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bậc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một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lãnh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tụ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thiên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tài.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tiền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để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để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Đảng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xây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dựng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nền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thị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trường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định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3c3c3c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hd w:val="clear" w:color="ffffff" w:fill="ffffff"/>
              <w:snapToGrid w:val="false"/>
              <w:spacing w:after="20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?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Em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hãy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chỉ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ra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một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số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hạn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chế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mà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gặp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phải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công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cuộc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xây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dựng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chủ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nghĩa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xã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hội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giai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đoạn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1922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/>
                <w:iCs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1945?</w:t>
            </w:r>
          </w:p>
          <w:p>
            <w:pPr>
              <w:shd w:val="clear" w:color="ffffff" w:fill="ffffff"/>
              <w:snapToGrid w:val="false"/>
              <w:spacing w:after="20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Còn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nóng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vội,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thiếu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dân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chủ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quá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trình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tập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hóa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nông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nghiệp,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chưa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chú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trọng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đúng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mức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đến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việc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nâng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cao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đời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sống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nhân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dân.</w:t>
            </w:r>
          </w:p>
          <w:p>
            <w:pPr>
              <w:shd w:val="clear" w:color="ffffff" w:fill="ffffff"/>
              <w:snapToGrid w:val="false"/>
              <w:spacing w:after="20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GV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hệ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với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Việt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Nam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giai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đoạn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50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kỉ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XX.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hd w:val="clear" w:color="ffffff" w:fill="ffffff"/>
              <w:snapToGrid w:val="false"/>
              <w:spacing w:after="20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Sau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Việt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Nam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hoàn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cuộc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chiến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chống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thực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dân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Pháp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lần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thứ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hai.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Từ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giữa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40c28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1958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trở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đi,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hình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nông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thôn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miền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Bắc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chuyển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mạnh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theo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hợp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tác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hoá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nông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nghiệp.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1f1f1f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uy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nhiên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có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biểu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hiện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chủ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quan,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nóng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vội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nên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mô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hình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tập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thể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hóa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nông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nghiệp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dần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đi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khủng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hoảng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sâu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sắc,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nhiều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hợp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tác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xã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tập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đoàn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xuất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gặp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khó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khăn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dần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dần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bị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tan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rã.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Đảng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Việt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Nam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có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chỉ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thị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(Chỉ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thị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100)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nghị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quyết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(Nghị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quyết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10)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mạnh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dạn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điều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chỉnh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quan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hệ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xuất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trên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cả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phương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diện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(sở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hữu,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quản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lí,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phân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phối)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khẳng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định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phương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hướng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lớn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đổi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mới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quản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lí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nông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>nghiệp.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8f9f9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Cuộc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đại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suy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thoái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kinh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tế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(1929-1933)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thảo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luận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Sự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hình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thành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chủ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nghĩa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phát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xít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ở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châu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Âu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thảo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luận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Hãy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trình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bày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nét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về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hình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Mỹ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giai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đoạn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1918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1939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hình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trị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xã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hội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Mỹ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được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thể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hiện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như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nào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qua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tư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liệu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2.8?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Hãy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trình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bày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nguyên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nhân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dẫn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Chiến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tranh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giới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thứ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Những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diễn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biến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chính</w:t>
            </w:r>
          </w:p>
          <w:p>
            <w:pPr>
              <w:snapToGrid w:val="false"/>
              <w:spacing w:after="160" w:lineRule="auto" w:line="36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Nhóm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1+2</w:t>
            </w:r>
          </w:p>
          <w:tbl>
            <w:tblPr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1"/>
              <w:gridCol w:w="1633"/>
              <w:gridCol w:w="2608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STT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Thời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gian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Sự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kiện</w:t>
                  </w: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1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5-1940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2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22-6-1941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3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7-12-1941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</w:tbl>
          <w:p>
            <w:pPr>
              <w:snapToGrid w:val="false"/>
              <w:spacing w:after="160" w:lineRule="auto" w:line="36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Nhóm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3+4</w:t>
            </w:r>
          </w:p>
          <w:tbl>
            <w:tblPr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7"/>
              <w:gridCol w:w="2693"/>
              <w:gridCol w:w="1795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STT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Thời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gian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Sự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kiện</w:t>
                  </w: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1-1-1942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11-1942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đến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2-1943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Giữa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năm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1943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</w:tbl>
          <w:p>
            <w:pPr>
              <w:snapToGrid w:val="false"/>
              <w:spacing w:after="160" w:lineRule="auto" w:line="36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Nhóm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5+6</w:t>
            </w:r>
          </w:p>
          <w:tbl>
            <w:tblPr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7"/>
              <w:gridCol w:w="1996"/>
              <w:gridCol w:w="2492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STT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Thời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gian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Sự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kiện</w:t>
                  </w: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6-6-1944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30-4-1945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9-5-1945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6-1942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</w:tbl>
          <w:p>
            <w:pPr>
              <w:snapToGrid w:val="false"/>
              <w:spacing w:after="160" w:lineRule="auto" w:line="36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Nhóm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7+8</w:t>
            </w:r>
          </w:p>
          <w:tbl>
            <w:tblPr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7"/>
              <w:gridCol w:w="1996"/>
              <w:gridCol w:w="2492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STT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Thời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gian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Sự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kiện</w:t>
                  </w: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6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và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 xml:space="preserve"> </w:t>
                  </w: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9-8-1945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8-8-1945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9-8-1945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  <w:r>
                    <w:rPr>
                      <w:rFonts w:ascii="Times New Roman" w:cs="Times New Roman" w:eastAsia="Calibri" w:hAnsi="Times New Roman" w:hint="default"/>
                      <w:b w:val="false"/>
                      <w:bCs w:val="false"/>
                      <w:i w:val="false"/>
                      <w:iCs w:val="false"/>
                      <w:color w:val="000000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bidi="ar-SA" w:eastAsia="en-US"/>
                    </w:rPr>
                    <w:t>15-8-1945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napToGrid w:val="false"/>
                    <w:spacing w:after="160" w:lineRule="auto" w:line="360"/>
                    <w:jc w:val="both"/>
                    <w:rPr/>
                  </w:pPr>
                </w:p>
              </w:tc>
            </w:tr>
          </w:tbl>
          <w:p>
            <w:pPr>
              <w:snapToGrid w:val="false"/>
              <w:spacing w:after="160" w:lineRule="auto" w:line="360"/>
              <w:jc w:val="both"/>
              <w:rPr/>
            </w:pP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Suy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nghĩ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em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về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chiến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tranh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này,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vai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trò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quân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đồng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minh.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1.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viết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từ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1918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đến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1922</w:t>
            </w:r>
          </w:p>
          <w:p>
            <w:pPr>
              <w:snapToGrid w:val="false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sym w:font="Wingdings" w:char="f0e0"/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áp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dụng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hiệu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quả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đưa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nền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dần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phục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hồi,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triển.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2.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từ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1922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đến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1945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Tháng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12/1922,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hòa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hội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chủ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nghĩa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viết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được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lập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(Liên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Xô).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1940,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gồm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15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*Thành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tựu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tế: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trọng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tâm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nghiệp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nặng.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Trải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hoạch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5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(1928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–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1937),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trở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một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cường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quốc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nghiệp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lượng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đứng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thứ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2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sau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Mỹ.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Xã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hội,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văn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hóa,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giáo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dục: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Xóa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bỏ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cấp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bóc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lột;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xóa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nạn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mù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chữ,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phổ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cập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THCS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ở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phố,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…</w:t>
            </w:r>
          </w:p>
          <w:p>
            <w:pPr>
              <w:spacing w:after="160" w:lineRule="auto" w:line="259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*Hạn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chế: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còn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nóng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vội,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thiếu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dân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chủ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quá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trình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tập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thể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hóa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nghiệp,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chưa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chú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trọng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đúng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mức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việc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nâng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cao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đời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sống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nhân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dân,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…</w:t>
            </w: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left"/>
              <w:rPr/>
            </w:pP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Calibri" w:cs="SimSun" w:eastAsia="Calibri" w:hAnsi="Calibri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nl-NL" w:bidi="ar-SA" w:eastAsia="en-US"/>
              </w:rPr>
              <w:t>3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nl-NL" w:bidi="ar-SA" w:eastAsia="en-US"/>
              </w:rPr>
              <w:t>.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nl-NL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Phong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trào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mạng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(1918-1923)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sự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lập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Quốc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(1919)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2.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Cuộc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đại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suy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t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hoái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kinh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tế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(1929-1933)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uộc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khủng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hoảng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bùng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nổ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đầu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tiên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ở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Mỹ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sau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đó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nhanh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chóng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rộng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sang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châu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Âu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châu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lục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khác.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Trong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thời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kì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suy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thoái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này,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hàng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15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chục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16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triệu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15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người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thất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1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nghiệp,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6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hiều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1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6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1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6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máy,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1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6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1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6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pacing w:val="-6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bị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sản,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oài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nghi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sự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tồn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tại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chế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độ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Style w:val="style88"/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hòa.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4.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Sự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hình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thành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chủ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nghĩa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phát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xít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ở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châu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Âu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Anh,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Pháp,...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tiến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cuộc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cải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tế-xã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hội.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Đức,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I-ta-li-a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theo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con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đường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xít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hoá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bộ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máy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tăng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cường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vũ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trang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*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I-ta-li-a: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+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Tháng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3/1919,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Mút-xô-li-ni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lập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“Các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nhóm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chiến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đấu”.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+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Tháng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11/1921,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lập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Đảng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Quốc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xít.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*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Đức: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+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1933,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Hít-le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trở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Thủ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tướng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Đức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+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Hít-le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giải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thể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đảng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đối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lập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bắt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những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người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chống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đối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tập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trung.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1936,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phát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xít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Đức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–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I-ta-li-a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ra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đời.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5.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Mỹ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giữa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hai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cuộc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chiến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tranh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thế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giới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(1918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–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1939)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Sau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Chiến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tranh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thế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giới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thứ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nhất,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noProof/>
                <w:color w:val="auto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Mỹ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trở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quốc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bản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giàu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mạnh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nhất.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Nhưng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vẫn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tồn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tình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trạng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bất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hội,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thất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nghiệp,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nhập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thấp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phân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biệt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chủng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tộc,…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1921,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Đảng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Cộng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sản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Mỹ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ra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shd w:val="clear" w:color="ffffff" w:fill="ffffff"/>
                <w:vertAlign w:val="baseline"/>
                <w:em w:val="none"/>
                <w:lang w:val="en-US" w:bidi="ar-SA" w:eastAsia="en-US"/>
              </w:rPr>
              <w:t>đời.</w:t>
            </w:r>
          </w:p>
          <w:p>
            <w:pPr>
              <w:shd w:val="clear" w:color="ffffff" w:fill="ffffff"/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+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1929,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Mỹ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rơi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khủng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hoảng.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+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Năm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1932,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thực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hiện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chính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cải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hội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(Thỏa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thuận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mới).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nl-NL" w:bidi="ar-SA" w:eastAsia="en-US"/>
              </w:rPr>
              <w:t>6.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nl-NL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Nguyên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nhân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bùng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nổ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7.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Những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diễn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biến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chín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noProof/>
                <w:color w:val="000000"/>
                <w:sz w:val="28"/>
                <w:szCs w:val="28"/>
                <w:highlight w:val="none"/>
                <w:vertAlign w:val="baseline"/>
                <w:em w:val="none"/>
                <w:lang w:bidi="ar-SA"/>
              </w:rPr>
              <w:t>h</w:t>
            </w: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8.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Vai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trò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của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Liên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Xô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và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các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Đồng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Liên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Xô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và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Đồng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minh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là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lực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lượng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trụ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cột,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giữ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vai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trò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quyết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định.</w:t>
            </w:r>
          </w:p>
          <w:p>
            <w:pPr>
              <w:spacing w:after="160" w:lineRule="auto" w:line="259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Chiến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của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Hồng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quân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Liên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Xô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đã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làm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suy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yếu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quân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sự,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kinh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tế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của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phá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xít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Đức,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tạo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điều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kiện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cho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nước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Đồng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minh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phản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công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trên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các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mặt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trận,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giành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thắng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lợi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cuối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none"/>
                <w:vertAlign w:val="baseline"/>
                <w:em w:val="none"/>
                <w:lang w:val="en-US" w:bidi="vi-VN" w:eastAsia="vi-VN"/>
              </w:rPr>
              <w:t>cùng.</w:t>
            </w:r>
          </w:p>
          <w:p>
            <w:pPr>
              <w:spacing w:after="160" w:lineRule="auto" w:line="259"/>
              <w:jc w:val="both"/>
              <w:rPr/>
            </w:pPr>
          </w:p>
          <w:p>
            <w:pPr>
              <w:spacing w:after="160" w:lineRule="auto" w:line="259"/>
              <w:jc w:val="both"/>
              <w:rPr/>
            </w:pPr>
          </w:p>
          <w:bookmarkEnd w:id="32"/>
          <w:p>
            <w:pPr>
              <w:spacing w:after="160" w:lineRule="auto" w:line="360"/>
              <w:jc w:val="both"/>
              <w:rPr/>
            </w:pPr>
          </w:p>
          <w:p>
            <w:pPr>
              <w:spacing w:after="160" w:lineRule="auto" w:line="259"/>
              <w:jc w:val="left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Candara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Segoe UI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styleId="style88">
    <w:name w:val="Emphasis"/>
    <w:next w:val="style4094"/>
    <w:rPr>
      <w:rFonts w:ascii="Times New Roman" w:cs="Times New Roman" w:eastAsia="SimSun" w:hAnsi="Times New Roman"/>
      <w:i/>
      <w:iCs/>
      <w:sz w:val="21"/>
    </w:rPr>
  </w:style>
  <w:style w:type="paragraph" w:styleId="style32">
    <w:name w:val="foot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Calibri" w:cs="Times New Roman" w:eastAsia="Calibri" w:hAnsi="Calibri"/>
      <w:sz w:val="28"/>
      <w:szCs w:val="28"/>
      <w:lang w:val="en-US" w:bidi="ar-SA" w:eastAsia="en-US"/>
    </w:rPr>
  </w:style>
  <w:style w:type="character" w:styleId="style261">
    <w:name w:val="Intense Emphasis"/>
    <w:next w:val="style4094"/>
    <w:rPr>
      <w:rFonts w:ascii="Calibri" w:cs="Times New Roman" w:eastAsia="Calibri" w:hAnsi="Calibri"/>
      <w:b/>
      <w:bCs/>
      <w:i/>
      <w:iCs/>
      <w:color w:val="4f81bd"/>
      <w:sz w:val="21"/>
    </w:rPr>
  </w:style>
  <w:style w:type="character" w:styleId="style87">
    <w:name w:val="Strong"/>
    <w:next w:val="style4094"/>
    <w:rPr>
      <w:rFonts w:ascii="Times New Roman" w:cs="Times New Roman" w:eastAsia="SimSun" w:hAnsi="Times New Roman"/>
      <w:b/>
      <w:bCs/>
      <w:sz w:val="21"/>
    </w:rPr>
  </w:style>
  <w:style w:type="paragraph" w:styleId="style179">
    <w:name w:val="List Paragraph"/>
    <w:basedOn w:val="style0"/>
    <w:next w:val="style4094"/>
    <w:pPr>
      <w:spacing w:before="0" w:after="200" w:lineRule="auto" w:line="276"/>
      <w:ind w:left="720" w:right="0"/>
    </w:pPr>
    <w:rPr>
      <w:rFonts w:ascii="Calibri" w:cs="Times New Roman" w:eastAsia="Calibri" w:hAnsi="Calibri"/>
      <w:sz w:val="28"/>
      <w:szCs w:val="28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2196</Words>
  <Characters>7794</Characters>
  <Application>WPS Office</Application>
  <Paragraphs>371</Paragraphs>
  <CharactersWithSpaces>9885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2025-02-08T05:50:10Z</dcterms:created>
  <dc:creator>CPH2505</dc:creator>
  <lastModifiedBy>CPH2505</lastModifiedBy>
  <dcterms:modified xsi:type="dcterms:W3CDTF">2025-02-08T05:53:56Z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b6040b5d90f04ba9a355c5a0b87695e1</vt:lpwstr>
  </property>
</Properties>
</file>