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</w:t>
        <w:tab/>
        <w:tab/>
        <w:tab/>
        <w:tab/>
        <w:t xml:space="preserve">Tiết theo KHGD: 23</w:t>
      </w:r>
    </w:p>
    <w:p w:rsidR="00000000" w:rsidDel="00000000" w:rsidP="00000000" w:rsidRDefault="00000000" w:rsidRPr="00000000" w14:paraId="00000002">
      <w:pPr>
        <w:pStyle w:val="Heading1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TÊN BÀI DẠY: TRẢ BÀI KIỂM TRA CUỐI KÌ I</w:t>
      </w:r>
    </w:p>
    <w:p w:rsidR="00000000" w:rsidDel="00000000" w:rsidP="00000000" w:rsidRDefault="00000000" w:rsidRPr="00000000" w14:paraId="00000003">
      <w:pPr>
        <w:pStyle w:val="Heading1"/>
        <w:rPr>
          <w:b w:val="0"/>
          <w:color w:val="000000"/>
        </w:rPr>
      </w:pPr>
      <w:r w:rsidDel="00000000" w:rsidR="00000000" w:rsidRPr="00000000">
        <w:rPr>
          <w:sz w:val="22"/>
          <w:szCs w:val="22"/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hời gian thực hiện: 0</w:t>
      </w:r>
      <w:r w:rsidDel="00000000" w:rsidR="00000000" w:rsidRPr="00000000">
        <w:rPr>
          <w:b w:val="0"/>
          <w:color w:val="000000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5400"/>
          <w:tab w:val="left" w:leader="none" w:pos="7169"/>
        </w:tabs>
        <w:spacing w:after="0" w:lineRule="auto"/>
        <w:ind w:right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MỤC TIÊU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tiêu: </w:t>
      </w:r>
    </w:p>
    <w:p w:rsidR="00000000" w:rsidDel="00000000" w:rsidP="00000000" w:rsidRDefault="00000000" w:rsidRPr="00000000" w14:paraId="00000006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Về kiến thức.</w:t>
      </w:r>
    </w:p>
    <w:p w:rsidR="00000000" w:rsidDel="00000000" w:rsidP="00000000" w:rsidRDefault="00000000" w:rsidRPr="00000000" w14:paraId="00000007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Giúp học sinh kiểm tra đánh giá kết quả làm bài kiểm tra học kỳ I</w:t>
      </w:r>
    </w:p>
    <w:p w:rsidR="00000000" w:rsidDel="00000000" w:rsidP="00000000" w:rsidRDefault="00000000" w:rsidRPr="00000000" w14:paraId="00000008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Củng cố một số kiến thức cơ bản cho học sinh.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- Sửa chữa những sai lầm thường mắc phải, tuyên dương những HS làm bài tốt, động viên khích lệ HS.</w:t>
      </w:r>
    </w:p>
    <w:p w:rsidR="00000000" w:rsidDel="00000000" w:rsidP="00000000" w:rsidRDefault="00000000" w:rsidRPr="00000000" w14:paraId="0000000A">
      <w:pPr>
        <w:tabs>
          <w:tab w:val="center" w:leader="none" w:pos="4320"/>
          <w:tab w:val="left" w:leader="none" w:pos="7169"/>
          <w:tab w:val="right" w:leader="none" w:pos="8640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năng lực </w:t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Năng lực chung</w:t>
      </w:r>
      <w:r w:rsidDel="00000000" w:rsidR="00000000" w:rsidRPr="00000000">
        <w:rPr>
          <w:rtl w:val="0"/>
        </w:rPr>
        <w:t xml:space="preserve">: NL sử dụng ngôn ngữ toán học: kí hiệu, tưởng tượng. NL tư duy: logic, khả năng suy diễn, lập luận toán học. NL thực hiện các phép tính.NL hoạt động nhóm. NL sử dụng các công cụ: công cụ vẽ</w:t>
        <w:tab/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Năng lực giao tiếp và hợp tác: 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Năng lực giải quyết vấn đề và sáng tạo: GQVĐ phát hiện kiến thức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Năng lực đặc thù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+ Làm làm và rút kinh nghiệm trong bài kiểm tra.</w:t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3. Về phẩm chất: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Thông qua thực hiện bài học sẽ tạo điều kiện để học sinh: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Có trách nhiệm trong hoạt động nhóm, chủ động nhận và thực hiện nhiệm vụ thảo luận về đề bài, cách tiến hành yêu cầu của đề bài</w:t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Trung thực, cẩn thận trong thực hành, ghi chép đầy đủ bài học</w:t>
      </w:r>
    </w:p>
    <w:p w:rsidR="00000000" w:rsidDel="00000000" w:rsidP="00000000" w:rsidRDefault="00000000" w:rsidRPr="00000000" w14:paraId="00000014">
      <w:pPr>
        <w:tabs>
          <w:tab w:val="left" w:leader="none" w:pos="7169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- Tôn trọng ý kiến người khác, biết giúp đỡ mọi người xung quanh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1 - GV:  </w:t>
      </w:r>
      <w:r w:rsidDel="00000000" w:rsidR="00000000" w:rsidRPr="00000000">
        <w:rPr>
          <w:rtl w:val="0"/>
        </w:rPr>
        <w:t xml:space="preserve">Đề bài …</w:t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2 - HS</w:t>
      </w:r>
      <w:r w:rsidDel="00000000" w:rsidR="00000000" w:rsidRPr="00000000">
        <w:rPr>
          <w:rtl w:val="0"/>
        </w:rPr>
        <w:t xml:space="preserve"> :  Chuẩn bị các dụng cụ học tập</w:t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TIẾN TRÌNH DẠY HỌC</w:t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1134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Hoạt động : </w:t>
      </w:r>
    </w:p>
    <w:p w:rsidR="00000000" w:rsidDel="00000000" w:rsidP="00000000" w:rsidRDefault="00000000" w:rsidRPr="00000000" w14:paraId="0000001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:</w:t>
      </w:r>
    </w:p>
    <w:p w:rsidR="00000000" w:rsidDel="00000000" w:rsidP="00000000" w:rsidRDefault="00000000" w:rsidRPr="00000000" w14:paraId="0000001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 : Yêu cầu HS thực hiện bài 4/ đề thi</w:t>
      </w:r>
    </w:p>
    <w:p w:rsidR="00000000" w:rsidDel="00000000" w:rsidP="00000000" w:rsidRDefault="00000000" w:rsidRPr="00000000" w14:paraId="0000001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vụ:</w:t>
      </w:r>
    </w:p>
    <w:p w:rsidR="00000000" w:rsidDel="00000000" w:rsidP="00000000" w:rsidRDefault="00000000" w:rsidRPr="00000000" w14:paraId="0000001D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1E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</w:t>
      </w:r>
    </w:p>
    <w:p w:rsidR="00000000" w:rsidDel="00000000" w:rsidP="00000000" w:rsidRDefault="00000000" w:rsidRPr="00000000" w14:paraId="0000001F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20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21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22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</w:t>
      </w:r>
    </w:p>
    <w:p w:rsidR="00000000" w:rsidDel="00000000" w:rsidP="00000000" w:rsidRDefault="00000000" w:rsidRPr="00000000" w14:paraId="00000023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24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Đa số hs vẽ hình chính xác và làm tốt phần a, b.</w:t>
      </w:r>
    </w:p>
    <w:p w:rsidR="00000000" w:rsidDel="00000000" w:rsidP="00000000" w:rsidRDefault="00000000" w:rsidRPr="00000000" w14:paraId="00000025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điềm: Một số học sinh chưa biết cách vẽ đối xứng qua đường thẳng</w:t>
      </w:r>
    </w:p>
    <w:p w:rsidR="00000000" w:rsidDel="00000000" w:rsidP="00000000" w:rsidRDefault="00000000" w:rsidRPr="00000000" w14:paraId="00000026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Một số HS viết hheej thức Pythagore còn chưa đúng, tính toán còn nhầm</w:t>
      </w:r>
    </w:p>
    <w:p w:rsidR="00000000" w:rsidDel="00000000" w:rsidP="00000000" w:rsidRDefault="00000000" w:rsidRPr="00000000" w14:paraId="0000002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HS chưa làm được phần c</w:t>
      </w:r>
    </w:p>
    <w:p w:rsidR="00000000" w:rsidDel="00000000" w:rsidP="00000000" w:rsidRDefault="00000000" w:rsidRPr="00000000" w14:paraId="0000002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1"/>
        <w:gridCol w:w="4645"/>
        <w:tblGridChange w:id="0">
          <w:tblGrid>
            <w:gridCol w:w="4941"/>
            <w:gridCol w:w="4645"/>
          </w:tblGrid>
        </w:tblGridChange>
      </w:tblGrid>
      <w:tr>
        <w:trPr>
          <w:cantSplit w:val="0"/>
          <w:trHeight w:val="3050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Vẽ đúng hình phần 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400300" cy="22860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28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Vẽ đúng hình phần 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491740" cy="211836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2118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a) Xét tam giác ABC vuông tại A, có: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AB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+AC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đl PTG)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100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BC = 10cm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a) Xét tam giác MNP vuông tại M, có: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NP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MN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+MP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đl PTG)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NP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9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+12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= 225</w:t>
            </w:r>
          </w:p>
          <w:p w:rsidR="00000000" w:rsidDel="00000000" w:rsidP="00000000" w:rsidRDefault="00000000" w:rsidRPr="00000000" w14:paraId="00000035">
            <w:pPr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NP = 15cm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b)Xét Tứ giác AMHN có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MAN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(tam giác ABC vuông tại A)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AMH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(HD⊥AB tại M)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ANH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(HE⊥AC tại N)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t/g AMHN là hình chữ nhật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b)Xét Tứ giác AMBH có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AMB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(tam giác MNP vuông tại M)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MAH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(HD⊥MN tại A)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acc>
                <m:accPr>
                  <m:chr m:val="̂"/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acc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MBH</m:t>
                  </m:r>
                </m:e>
              </m:acc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90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r>
                <w:rPr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m:t xml:space="preserve">(HE⊥MP tại B)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t/g AMBH là hình chữ nhật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c)+ c/m được t/g ADMN là hbh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AD// MN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 c/m được t/g AENM là hbh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AE// MN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A, D, E thẳng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c)+ c/m được t/g ADMB là hbh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MD// AB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 c/m được t/g AMEB là hbh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ME// AB</w:t>
            </w:r>
          </w:p>
          <w:p w:rsidR="00000000" w:rsidDel="00000000" w:rsidP="00000000" w:rsidRDefault="00000000" w:rsidRPr="00000000" w14:paraId="00000049">
            <w:pPr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M, D, E thẳng hàng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 Hướng dẫn học sinh tự học ở nhà: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Tự làm lại bài kiểm tra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Họ và tên giáo viên: Trần Thị Thanh Nga                            Môn học: Hình học8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Trường THCS Nam Hải                                                  Tổ Khoa học tự nhiên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⇨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76" w:lineRule="auto"/>
      <w:jc w:val="cente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503A"/>
    <w:pPr>
      <w:spacing w:after="120" w:line="360" w:lineRule="auto"/>
      <w:jc w:val="both"/>
    </w:pPr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503A"/>
    <w:pPr>
      <w:keepNext w:val="1"/>
      <w:keepLines w:val="1"/>
      <w:spacing w:after="0" w:before="120" w:line="276" w:lineRule="auto"/>
      <w:jc w:val="center"/>
      <w:outlineLvl w:val="0"/>
    </w:pPr>
    <w:rPr>
      <w:rFonts w:cstheme="majorBidi" w:eastAsiaTheme="majorEastAsia"/>
      <w:b w:val="1"/>
      <w:caps w:val="1"/>
      <w:color w:val="000000" w:themeColor="text1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5503A"/>
    <w:rPr>
      <w:rFonts w:ascii="Times New Roman" w:hAnsi="Times New Roman" w:cstheme="majorBidi" w:eastAsiaTheme="majorEastAsia"/>
      <w:b w:val="1"/>
      <w:caps w:val="1"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1C0027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vi-VN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C0027"/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1A563E"/>
    <w:pPr>
      <w:spacing w:after="100" w:afterAutospacing="1" w:before="100" w:beforeAutospacing="1" w:line="240" w:lineRule="auto"/>
      <w:jc w:val="left"/>
    </w:pPr>
    <w:rPr>
      <w:sz w:val="24"/>
      <w:szCs w:val="24"/>
      <w:lang w:eastAsia="vi-VN" w:val="vi-VN"/>
    </w:rPr>
  </w:style>
  <w:style w:type="character" w:styleId="NormalWebChar" w:customStyle="1">
    <w:name w:val="Normal (Web) Char"/>
    <w:link w:val="NormalWeb"/>
    <w:uiPriority w:val="99"/>
    <w:rsid w:val="00B34F16"/>
    <w:rPr>
      <w:rFonts w:ascii="Times New Roman" w:cs="Times New Roman" w:eastAsia="Times New Roman" w:hAnsi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 w:val="1"/>
    <w:rsid w:val="00F7064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KRp/NSD5fEC/dHI8l3lBHZhKg==">CgMxLjAyCGguZ2pkZ3hzMgloLjMwajB6bGw4AHIhMWlYMDRZREVUbkswNkFLSWVyOW84QWtLcjV6SGppSVpv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2024-01-07T00:11:00Z</dcterms:created>
  <dc:creator>MyPC</dc:creator>
</cp:coreProperties>
</file>